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4FE32" w14:textId="262A06F0" w:rsidR="00CE6ABB" w:rsidRPr="00141656" w:rsidRDefault="0061565C" w:rsidP="0061565C">
      <w:pPr>
        <w:pStyle w:val="3GPPHeader"/>
        <w:spacing w:line="288" w:lineRule="auto"/>
        <w:rPr>
          <w:szCs w:val="24"/>
        </w:rPr>
      </w:pPr>
      <w:r w:rsidRPr="00141656">
        <w:rPr>
          <w:szCs w:val="24"/>
        </w:rPr>
        <w:t>3GP</w:t>
      </w:r>
      <w:r>
        <w:rPr>
          <w:szCs w:val="24"/>
        </w:rPr>
        <w:t>P TSG-RAN WG2 Meeting #12</w:t>
      </w:r>
      <w:r w:rsidR="00CD18FF">
        <w:rPr>
          <w:rFonts w:hint="eastAsia"/>
          <w:szCs w:val="24"/>
        </w:rPr>
        <w:t>4</w:t>
      </w:r>
      <w:r>
        <w:rPr>
          <w:szCs w:val="24"/>
        </w:rPr>
        <w:tab/>
        <w:t>R2-2</w:t>
      </w:r>
      <w:r>
        <w:rPr>
          <w:rFonts w:hint="eastAsia"/>
          <w:szCs w:val="24"/>
        </w:rPr>
        <w:t>3</w:t>
      </w:r>
      <w:r w:rsidR="00CE6ABB">
        <w:rPr>
          <w:rFonts w:hint="eastAsia"/>
          <w:szCs w:val="24"/>
        </w:rPr>
        <w:t>1</w:t>
      </w:r>
      <w:r w:rsidR="00CD18FF">
        <w:rPr>
          <w:rFonts w:hint="eastAsia"/>
          <w:szCs w:val="24"/>
        </w:rPr>
        <w:t>xxxx</w:t>
      </w:r>
    </w:p>
    <w:p w14:paraId="6FF9BBE2" w14:textId="3F89C448" w:rsidR="0061565C" w:rsidRDefault="00CD18FF" w:rsidP="0061565C">
      <w:pPr>
        <w:pStyle w:val="3GPPHeader"/>
        <w:spacing w:line="288" w:lineRule="auto"/>
        <w:rPr>
          <w:szCs w:val="24"/>
        </w:rPr>
      </w:pPr>
      <w:r>
        <w:rPr>
          <w:rFonts w:hint="eastAsia"/>
          <w:szCs w:val="24"/>
        </w:rPr>
        <w:t>Chicago</w:t>
      </w:r>
      <w:r w:rsidR="0061565C">
        <w:rPr>
          <w:rFonts w:hint="eastAsia"/>
          <w:szCs w:val="24"/>
        </w:rPr>
        <w:t xml:space="preserve">, </w:t>
      </w:r>
      <w:r>
        <w:rPr>
          <w:rFonts w:hint="eastAsia"/>
          <w:szCs w:val="24"/>
        </w:rPr>
        <w:t>USA</w:t>
      </w:r>
      <w:r w:rsidR="0061565C" w:rsidRPr="00141656">
        <w:rPr>
          <w:szCs w:val="24"/>
        </w:rPr>
        <w:t xml:space="preserve">, </w:t>
      </w:r>
      <w:r>
        <w:rPr>
          <w:rFonts w:hint="eastAsia"/>
          <w:szCs w:val="24"/>
        </w:rPr>
        <w:t>November 13-17</w:t>
      </w:r>
      <w:r w:rsidR="0061565C" w:rsidRPr="00141656">
        <w:rPr>
          <w:szCs w:val="24"/>
        </w:rPr>
        <w:t>, 2023</w:t>
      </w:r>
    </w:p>
    <w:p w14:paraId="24BF6F4A" w14:textId="77777777" w:rsidR="003C1F34" w:rsidRPr="003F2679" w:rsidRDefault="003C1F34" w:rsidP="00163DC5">
      <w:pPr>
        <w:pStyle w:val="3GPPHeader"/>
        <w:spacing w:line="288" w:lineRule="auto"/>
        <w:rPr>
          <w:szCs w:val="24"/>
        </w:rPr>
      </w:pPr>
    </w:p>
    <w:p w14:paraId="7F4474A6" w14:textId="03156A69"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C600A">
        <w:rPr>
          <w:szCs w:val="24"/>
        </w:rPr>
        <w:t>7</w:t>
      </w:r>
      <w:r w:rsidR="0028245D" w:rsidRPr="003F2679">
        <w:rPr>
          <w:rFonts w:hint="eastAsia"/>
          <w:szCs w:val="24"/>
        </w:rPr>
        <w:t>.</w:t>
      </w:r>
      <w:r w:rsidR="0055015B">
        <w:rPr>
          <w:rFonts w:hint="eastAsia"/>
          <w:szCs w:val="24"/>
        </w:rPr>
        <w:t>1</w:t>
      </w:r>
      <w:r w:rsidR="0055015B">
        <w:rPr>
          <w:szCs w:val="24"/>
        </w:rPr>
        <w:t>4</w:t>
      </w:r>
      <w:r w:rsidR="003046AB">
        <w:rPr>
          <w:rFonts w:hint="eastAsia"/>
          <w:szCs w:val="24"/>
        </w:rPr>
        <w:t>.</w:t>
      </w:r>
      <w:r w:rsidR="00CD18FF">
        <w:rPr>
          <w:rFonts w:hint="eastAsia"/>
          <w:szCs w:val="24"/>
        </w:rPr>
        <w:t>4</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6D67DD8"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61565C" w:rsidRPr="0061565C">
        <w:rPr>
          <w:szCs w:val="24"/>
        </w:rPr>
        <w:t xml:space="preserve">Discussion on remaining issues for </w:t>
      </w:r>
      <w:r w:rsidR="003E0C22">
        <w:rPr>
          <w:rFonts w:hint="eastAsia"/>
          <w:szCs w:val="24"/>
        </w:rPr>
        <w:t>UE capability</w:t>
      </w:r>
      <w:r w:rsidR="00FC4691">
        <w:rPr>
          <w:rFonts w:hint="eastAsia"/>
          <w:szCs w:val="24"/>
        </w:rPr>
        <w:t xml:space="preserve"> and Rel-17 leftover issues</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4810011" w14:textId="5F711310" w:rsidR="00D425D5" w:rsidRPr="0071366D"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0" w:name="_Toc29245205"/>
      <w:bookmarkStart w:id="1" w:name="_Toc37298551"/>
      <w:bookmarkStart w:id="2" w:name="_Toc46502313"/>
      <w:bookmarkStart w:id="3" w:name="_Toc52749290"/>
      <w:bookmarkStart w:id="4" w:name="_Toc90590073"/>
      <w:r>
        <w:rPr>
          <w:rFonts w:ascii="Arial" w:eastAsia="等线" w:hAnsi="Arial"/>
          <w:sz w:val="36"/>
          <w:szCs w:val="20"/>
          <w:lang w:val="en-GB" w:eastAsia="ja-JP"/>
        </w:rPr>
        <w:t>1</w:t>
      </w:r>
      <w:r>
        <w:rPr>
          <w:rFonts w:ascii="Arial" w:eastAsia="等线" w:hAnsi="Arial" w:hint="eastAsia"/>
          <w:sz w:val="36"/>
          <w:szCs w:val="20"/>
          <w:lang w:val="en-GB"/>
        </w:rPr>
        <w:t xml:space="preserve"> </w:t>
      </w:r>
      <w:r w:rsidRPr="0071366D">
        <w:rPr>
          <w:rFonts w:ascii="Arial" w:eastAsia="等线" w:hAnsi="Arial"/>
          <w:sz w:val="36"/>
          <w:szCs w:val="20"/>
          <w:lang w:val="en-GB" w:eastAsia="ja-JP"/>
        </w:rPr>
        <w:t>Introduction</w:t>
      </w:r>
      <w:r w:rsidRPr="0071366D">
        <w:rPr>
          <w:rFonts w:ascii="Arial" w:eastAsia="等线" w:hAnsi="Arial" w:hint="eastAsia"/>
          <w:sz w:val="36"/>
          <w:szCs w:val="20"/>
          <w:lang w:val="en-GB" w:eastAsia="ja-JP"/>
        </w:rPr>
        <w:t xml:space="preserve"> </w:t>
      </w:r>
    </w:p>
    <w:p w14:paraId="04E02E86" w14:textId="32339941" w:rsidR="00F7666A" w:rsidRDefault="001B7901" w:rsidP="00F7666A">
      <w:pPr>
        <w:pStyle w:val="a8"/>
        <w:spacing w:line="288" w:lineRule="auto"/>
        <w:rPr>
          <w:rFonts w:ascii="Times New Roman" w:hAnsi="Times New Roman"/>
          <w:sz w:val="22"/>
          <w:szCs w:val="22"/>
        </w:rPr>
      </w:pPr>
      <w:r>
        <w:rPr>
          <w:rFonts w:ascii="Times New Roman" w:hAnsi="Times New Roman" w:hint="eastAsia"/>
          <w:sz w:val="22"/>
          <w:szCs w:val="22"/>
        </w:rPr>
        <w:t>In previous RAN2 meeting</w:t>
      </w:r>
      <w:r w:rsidR="009A0FEC">
        <w:rPr>
          <w:rFonts w:ascii="Times New Roman" w:hAnsi="Times New Roman" w:hint="eastAsia"/>
          <w:sz w:val="22"/>
          <w:szCs w:val="22"/>
        </w:rPr>
        <w:t xml:space="preserve"> [1]</w:t>
      </w:r>
      <w:r>
        <w:rPr>
          <w:rFonts w:ascii="Times New Roman" w:hAnsi="Times New Roman" w:hint="eastAsia"/>
          <w:sz w:val="22"/>
          <w:szCs w:val="22"/>
        </w:rPr>
        <w:t xml:space="preserve">, some agreements on UE capability </w:t>
      </w:r>
      <w:r w:rsidR="00C75DBE">
        <w:rPr>
          <w:rFonts w:ascii="Times New Roman" w:hAnsi="Times New Roman" w:hint="eastAsia"/>
          <w:sz w:val="22"/>
          <w:szCs w:val="22"/>
        </w:rPr>
        <w:t xml:space="preserve">and inter-RAT mobility </w:t>
      </w:r>
      <w:r>
        <w:rPr>
          <w:rFonts w:ascii="Times New Roman" w:hAnsi="Times New Roman" w:hint="eastAsia"/>
          <w:sz w:val="22"/>
          <w:szCs w:val="22"/>
        </w:rPr>
        <w:t xml:space="preserve">have already achieved. But there are still some open issues on UE </w:t>
      </w:r>
      <w:r w:rsidR="00621250">
        <w:rPr>
          <w:rFonts w:ascii="Times New Roman" w:hAnsi="Times New Roman"/>
          <w:sz w:val="22"/>
          <w:szCs w:val="22"/>
        </w:rPr>
        <w:t xml:space="preserve">capability. </w:t>
      </w:r>
    </w:p>
    <w:tbl>
      <w:tblPr>
        <w:tblStyle w:val="afa"/>
        <w:tblW w:w="0" w:type="auto"/>
        <w:tblLook w:val="04A0" w:firstRow="1" w:lastRow="0" w:firstColumn="1" w:lastColumn="0" w:noHBand="0" w:noVBand="1"/>
      </w:tblPr>
      <w:tblGrid>
        <w:gridCol w:w="9855"/>
      </w:tblGrid>
      <w:tr w:rsidR="00F7666A" w14:paraId="0F70FDBC" w14:textId="77777777" w:rsidTr="00F7666A">
        <w:tc>
          <w:tcPr>
            <w:tcW w:w="9855" w:type="dxa"/>
          </w:tcPr>
          <w:p w14:paraId="0FFEEF3B" w14:textId="77777777" w:rsidR="00621250" w:rsidRDefault="00C75DBE" w:rsidP="00D80E73">
            <w:pPr>
              <w:pStyle w:val="a8"/>
              <w:spacing w:line="288" w:lineRule="auto"/>
              <w:ind w:left="360"/>
              <w:rPr>
                <w:rFonts w:ascii="Times New Roman" w:eastAsiaTheme="minorEastAsia" w:hAnsi="Times New Roman"/>
                <w:sz w:val="22"/>
                <w:szCs w:val="22"/>
              </w:rPr>
            </w:pPr>
            <w:r>
              <w:rPr>
                <w:rFonts w:ascii="Times New Roman" w:eastAsiaTheme="minorEastAsia" w:hAnsi="Times New Roman"/>
                <w:sz w:val="22"/>
                <w:szCs w:val="22"/>
              </w:rPr>
              <w:t>I</w:t>
            </w:r>
            <w:r>
              <w:rPr>
                <w:rFonts w:ascii="Times New Roman" w:eastAsiaTheme="minorEastAsia" w:hAnsi="Times New Roman" w:hint="eastAsia"/>
                <w:sz w:val="22"/>
                <w:szCs w:val="22"/>
              </w:rPr>
              <w:t>nter-RAT mobility:</w:t>
            </w:r>
          </w:p>
          <w:p w14:paraId="37058F12" w14:textId="77777777" w:rsidR="00C75DBE" w:rsidRDefault="00C75DBE" w:rsidP="00C75DBE">
            <w:pPr>
              <w:tabs>
                <w:tab w:val="num" w:pos="1619"/>
              </w:tabs>
              <w:spacing w:before="60"/>
              <w:ind w:left="1619" w:hanging="360"/>
              <w:rPr>
                <w:rFonts w:ascii="Arial" w:eastAsia="MS Mincho" w:hAnsi="Arial"/>
                <w:b/>
                <w:sz w:val="20"/>
                <w:lang w:val="en-GB" w:eastAsia="en-GB"/>
              </w:rPr>
            </w:pPr>
            <w:r>
              <w:rPr>
                <w:rFonts w:ascii="Arial" w:eastAsia="MS Mincho" w:hAnsi="Arial"/>
                <w:b/>
                <w:sz w:val="20"/>
                <w:lang w:val="en-GB" w:eastAsia="en-GB"/>
              </w:rPr>
              <w:t xml:space="preserve">1: RAN2 understanding is that for HO between LTE/5GC and NR, QoE continuity is done in AS layer (rather than APP layer), that means the </w:t>
            </w:r>
            <w:r w:rsidRPr="007020C7">
              <w:rPr>
                <w:rFonts w:ascii="Arial" w:eastAsia="MS Mincho" w:hAnsi="Arial"/>
                <w:b/>
                <w:sz w:val="20"/>
                <w:lang w:val="en-GB" w:eastAsia="en-GB"/>
              </w:rPr>
              <w:t>QoE measurement</w:t>
            </w:r>
            <w:r>
              <w:rPr>
                <w:rFonts w:ascii="Arial" w:eastAsia="MS Mincho" w:hAnsi="Arial"/>
                <w:b/>
                <w:sz w:val="20"/>
                <w:lang w:val="en-GB" w:eastAsia="en-GB"/>
              </w:rPr>
              <w:t xml:space="preserve"> continuity in application layer may not be guaranteed.</w:t>
            </w:r>
          </w:p>
          <w:p w14:paraId="6B4E7E7A" w14:textId="77777777" w:rsidR="00C75DBE" w:rsidRDefault="00C75DBE" w:rsidP="00C75DBE">
            <w:pPr>
              <w:tabs>
                <w:tab w:val="num" w:pos="1619"/>
              </w:tabs>
              <w:spacing w:before="60"/>
              <w:ind w:left="1619" w:hanging="360"/>
              <w:rPr>
                <w:rFonts w:ascii="Arial" w:eastAsia="MS Mincho" w:hAnsi="Arial"/>
                <w:b/>
                <w:sz w:val="20"/>
                <w:lang w:val="en-GB" w:eastAsia="en-GB"/>
              </w:rPr>
            </w:pPr>
            <w:r>
              <w:rPr>
                <w:rFonts w:ascii="Arial" w:eastAsia="MS Mincho" w:hAnsi="Arial"/>
                <w:b/>
                <w:sz w:val="20"/>
                <w:lang w:val="en-GB" w:eastAsia="en-GB"/>
              </w:rPr>
              <w:t>2: Agree on the principles of Option 3 and Option 4:</w:t>
            </w:r>
          </w:p>
          <w:p w14:paraId="3D56FF76" w14:textId="77777777" w:rsidR="00C75DBE" w:rsidRDefault="00C75DBE" w:rsidP="00C75DBE">
            <w:pPr>
              <w:spacing w:before="60"/>
              <w:ind w:left="1619"/>
              <w:rPr>
                <w:rFonts w:ascii="Arial" w:eastAsia="MS Mincho" w:hAnsi="Arial"/>
                <w:b/>
                <w:sz w:val="20"/>
                <w:lang w:val="en-GB" w:eastAsia="en-GB"/>
              </w:rPr>
            </w:pPr>
            <w:r>
              <w:rPr>
                <w:rFonts w:ascii="Arial" w:eastAsia="MS Mincho" w:hAnsi="Arial"/>
                <w:b/>
                <w:sz w:val="20"/>
                <w:lang w:val="en-GB" w:eastAsia="en-GB"/>
              </w:rPr>
              <w:t>-</w:t>
            </w:r>
            <w:r>
              <w:rPr>
                <w:rFonts w:ascii="Arial" w:eastAsia="MS Mincho" w:hAnsi="Arial"/>
                <w:b/>
                <w:sz w:val="20"/>
                <w:lang w:val="en-GB" w:eastAsia="en-GB"/>
              </w:rPr>
              <w:tab/>
              <w:t>Option 3: For HO from NR to LTE/5GC, the UE can keep and continue measurements for only one configuration for a service type supported in LTE</w:t>
            </w:r>
          </w:p>
          <w:p w14:paraId="4D933658" w14:textId="77777777" w:rsidR="00C75DBE" w:rsidRDefault="00C75DBE" w:rsidP="00C75DBE">
            <w:pPr>
              <w:spacing w:before="60"/>
              <w:ind w:left="1619"/>
              <w:rPr>
                <w:rFonts w:ascii="Arial" w:eastAsia="MS Mincho" w:hAnsi="Arial"/>
                <w:b/>
                <w:sz w:val="20"/>
                <w:lang w:val="en-GB" w:eastAsia="en-GB"/>
              </w:rPr>
            </w:pPr>
            <w:r>
              <w:rPr>
                <w:rFonts w:ascii="Arial" w:eastAsia="MS Mincho" w:hAnsi="Arial"/>
                <w:b/>
                <w:sz w:val="20"/>
                <w:lang w:val="en-GB" w:eastAsia="en-GB"/>
              </w:rPr>
              <w:t>-</w:t>
            </w:r>
            <w:r>
              <w:rPr>
                <w:rFonts w:ascii="Arial" w:eastAsia="MS Mincho" w:hAnsi="Arial"/>
                <w:b/>
                <w:sz w:val="20"/>
                <w:lang w:val="en-GB" w:eastAsia="en-GB"/>
              </w:rPr>
              <w:tab/>
              <w:t xml:space="preserve">Option 4: For HO from LTE/5GC to NR, the UE can keep and continue measurements for </w:t>
            </w:r>
            <w:r w:rsidRPr="007020C7">
              <w:rPr>
                <w:rFonts w:ascii="Arial" w:eastAsia="MS Mincho" w:hAnsi="Arial"/>
                <w:b/>
                <w:sz w:val="20"/>
                <w:lang w:val="en-GB" w:eastAsia="en-GB"/>
              </w:rPr>
              <w:t xml:space="preserve">the </w:t>
            </w:r>
            <w:proofErr w:type="spellStart"/>
            <w:r w:rsidRPr="007020C7">
              <w:rPr>
                <w:rFonts w:ascii="Arial" w:eastAsia="MS Mincho" w:hAnsi="Arial"/>
                <w:b/>
                <w:sz w:val="20"/>
                <w:lang w:val="en-GB" w:eastAsia="en-GB"/>
              </w:rPr>
              <w:t>ongoing</w:t>
            </w:r>
            <w:proofErr w:type="spellEnd"/>
            <w:r>
              <w:rPr>
                <w:rFonts w:ascii="Arial" w:eastAsia="MS Mincho" w:hAnsi="Arial"/>
                <w:b/>
                <w:sz w:val="20"/>
                <w:lang w:val="en-GB" w:eastAsia="en-GB"/>
              </w:rPr>
              <w:t xml:space="preserve"> configuration for a service type supported in NR</w:t>
            </w:r>
          </w:p>
          <w:p w14:paraId="2398BE10" w14:textId="77777777" w:rsidR="00C75DBE" w:rsidRDefault="00C75DBE" w:rsidP="00C75DBE">
            <w:pPr>
              <w:tabs>
                <w:tab w:val="num" w:pos="1619"/>
              </w:tabs>
              <w:spacing w:before="60"/>
              <w:ind w:left="1619" w:hanging="360"/>
              <w:rPr>
                <w:rFonts w:ascii="Arial" w:eastAsia="MS Mincho" w:hAnsi="Arial"/>
                <w:b/>
                <w:sz w:val="20"/>
                <w:lang w:val="en-GB" w:eastAsia="en-GB"/>
              </w:rPr>
            </w:pPr>
            <w:r>
              <w:rPr>
                <w:rFonts w:ascii="Arial" w:eastAsia="MS Mincho" w:hAnsi="Arial"/>
                <w:b/>
                <w:sz w:val="20"/>
                <w:lang w:val="en-GB" w:eastAsia="en-GB"/>
              </w:rPr>
              <w:t xml:space="preserve">3: Option 3 and Option 4 can be worked on in this WI only if there are no impacts to LTE specifications. </w:t>
            </w:r>
          </w:p>
          <w:p w14:paraId="487B8F24" w14:textId="77777777" w:rsidR="00C75DBE" w:rsidRDefault="00C75DBE" w:rsidP="00D80E73">
            <w:pPr>
              <w:pStyle w:val="a8"/>
              <w:spacing w:line="288" w:lineRule="auto"/>
              <w:ind w:left="360"/>
              <w:rPr>
                <w:rFonts w:ascii="Times New Roman" w:eastAsiaTheme="minorEastAsia" w:hAnsi="Times New Roman"/>
                <w:sz w:val="22"/>
                <w:szCs w:val="22"/>
              </w:rPr>
            </w:pPr>
            <w:r>
              <w:rPr>
                <w:rFonts w:ascii="Times New Roman" w:eastAsiaTheme="minorEastAsia" w:hAnsi="Times New Roman" w:hint="eastAsia"/>
                <w:sz w:val="22"/>
                <w:szCs w:val="22"/>
              </w:rPr>
              <w:t>UE capability:</w:t>
            </w:r>
          </w:p>
          <w:p w14:paraId="3EED8F7F" w14:textId="77777777" w:rsidR="00C75DBE" w:rsidRDefault="00C75DBE" w:rsidP="00C75DBE">
            <w:pPr>
              <w:pStyle w:val="Agreement"/>
              <w:numPr>
                <w:ilvl w:val="0"/>
                <w:numId w:val="23"/>
              </w:numPr>
            </w:pPr>
            <w:r>
              <w:t xml:space="preserve">For non-RedCap UE, minimum memory requirement for IDLE/INACTIVE reports is 64KB. This memory is in addition to 64KB used for QoE report storage during pause. </w:t>
            </w:r>
          </w:p>
          <w:p w14:paraId="3AA6E383" w14:textId="77777777" w:rsidR="00C75DBE" w:rsidRPr="00F55048" w:rsidRDefault="00C75DBE" w:rsidP="00C75DBE">
            <w:pPr>
              <w:pStyle w:val="Agreement"/>
              <w:numPr>
                <w:ilvl w:val="0"/>
                <w:numId w:val="23"/>
              </w:numPr>
            </w:pPr>
            <w:r>
              <w:t>FFS For RedCap/</w:t>
            </w:r>
            <w:proofErr w:type="spellStart"/>
            <w:r>
              <w:t>eRedCap</w:t>
            </w:r>
            <w:proofErr w:type="spellEnd"/>
            <w:r>
              <w:t xml:space="preserve"> UE, the minimum requirement is 64 KB total for both IDLE/INACTIVE and paused reports</w:t>
            </w:r>
          </w:p>
          <w:p w14:paraId="2F72F367" w14:textId="77777777" w:rsidR="00C75DBE" w:rsidRDefault="00C75DBE" w:rsidP="00C75DBE">
            <w:pPr>
              <w:pStyle w:val="Agreement"/>
              <w:numPr>
                <w:ilvl w:val="0"/>
                <w:numId w:val="23"/>
              </w:numPr>
              <w:rPr>
                <w:rFonts w:eastAsiaTheme="minorEastAsia"/>
                <w:lang w:eastAsia="zh-CN"/>
              </w:rPr>
            </w:pPr>
            <w:r>
              <w:t>Introduce an optional UE capability indicates whether UE supports 128, 256, 512 and 1024KB buffer size.</w:t>
            </w:r>
          </w:p>
          <w:p w14:paraId="345BFA63" w14:textId="77777777" w:rsidR="00C75DBE" w:rsidRDefault="00C75DBE" w:rsidP="00C75DBE">
            <w:pPr>
              <w:pStyle w:val="Agreement"/>
              <w:numPr>
                <w:ilvl w:val="0"/>
                <w:numId w:val="23"/>
              </w:numPr>
            </w:pPr>
            <w:r>
              <w:t>Wait for RAN3 conclusion on whether there is some difference for QoE treatment for MBS and unicast</w:t>
            </w:r>
          </w:p>
          <w:p w14:paraId="0E39D700" w14:textId="77777777" w:rsidR="00C75DBE" w:rsidRDefault="00C75DBE" w:rsidP="00C75DBE">
            <w:pPr>
              <w:pStyle w:val="Agreement"/>
              <w:numPr>
                <w:ilvl w:val="0"/>
                <w:numId w:val="23"/>
              </w:numPr>
            </w:pPr>
            <w:r>
              <w:t xml:space="preserve">Introduce UE capability of supporting QoE configuration in NR-DC framework with radio access capability parameter. </w:t>
            </w:r>
          </w:p>
          <w:p w14:paraId="5BF9CA6E" w14:textId="77777777" w:rsidR="00C75DBE" w:rsidRDefault="00C75DBE" w:rsidP="00C75DBE">
            <w:pPr>
              <w:pStyle w:val="Agreement"/>
              <w:numPr>
                <w:ilvl w:val="0"/>
                <w:numId w:val="23"/>
              </w:numPr>
            </w:pPr>
            <w:r>
              <w:t>Introduce UE capability of supporting SRB5 for QoE reporting with radio access capability parameters.</w:t>
            </w:r>
          </w:p>
          <w:p w14:paraId="6E3557AA" w14:textId="1517AE04" w:rsidR="00C75DBE" w:rsidRPr="00C75DBE" w:rsidRDefault="00C75DBE" w:rsidP="00C75DBE">
            <w:pPr>
              <w:pStyle w:val="a8"/>
              <w:spacing w:line="288" w:lineRule="auto"/>
              <w:rPr>
                <w:rFonts w:ascii="Times New Roman" w:eastAsiaTheme="minorEastAsia" w:hAnsi="Times New Roman"/>
                <w:sz w:val="22"/>
                <w:szCs w:val="22"/>
              </w:rPr>
            </w:pPr>
          </w:p>
        </w:tc>
      </w:tr>
    </w:tbl>
    <w:p w14:paraId="29BB02D0" w14:textId="43BDE97D" w:rsidR="00D425D5" w:rsidRPr="0071366D" w:rsidRDefault="00D425D5" w:rsidP="00116C46">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this discussion paper, we will further analyse the remaining issues.</w:t>
      </w:r>
    </w:p>
    <w:p w14:paraId="0667C001" w14:textId="77777777" w:rsidR="00D425D5" w:rsidRDefault="00D425D5"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rPr>
      </w:pPr>
      <w:bookmarkStart w:id="5" w:name="_Ref178064866"/>
      <w:r w:rsidRPr="0071366D">
        <w:rPr>
          <w:rFonts w:ascii="Arial" w:eastAsia="等线" w:hAnsi="Arial"/>
          <w:sz w:val="36"/>
          <w:szCs w:val="20"/>
          <w:lang w:val="en-GB" w:eastAsia="ja-JP"/>
        </w:rPr>
        <w:lastRenderedPageBreak/>
        <w:t>2</w:t>
      </w:r>
      <w:r w:rsidRPr="0071366D">
        <w:rPr>
          <w:rFonts w:ascii="Arial" w:eastAsia="等线" w:hAnsi="Arial" w:hint="eastAsia"/>
          <w:sz w:val="36"/>
          <w:szCs w:val="20"/>
          <w:lang w:val="en-GB"/>
        </w:rPr>
        <w:t xml:space="preserve"> </w:t>
      </w:r>
      <w:bookmarkEnd w:id="5"/>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01F4A4C5" w14:textId="429ED8B4" w:rsidR="00C75DBE" w:rsidRDefault="00C75DBE" w:rsidP="00C75DBE">
      <w:pPr>
        <w:pStyle w:val="21"/>
      </w:pPr>
      <w:r>
        <w:rPr>
          <w:rFonts w:hint="eastAsia"/>
        </w:rPr>
        <w:t>2.1 Rel-17 leftover issues</w:t>
      </w:r>
    </w:p>
    <w:p w14:paraId="34959C73" w14:textId="26DBC2DA" w:rsidR="00C75DBE" w:rsidRDefault="00C75DBE" w:rsidP="00C75DBE">
      <w:pPr>
        <w:pStyle w:val="a8"/>
        <w:spacing w:line="288" w:lineRule="auto"/>
        <w:rPr>
          <w:rFonts w:ascii="Times New Roman" w:hAnsi="Times New Roman"/>
          <w:sz w:val="22"/>
          <w:szCs w:val="22"/>
        </w:rPr>
      </w:pPr>
      <w:r>
        <w:rPr>
          <w:rFonts w:ascii="Times New Roman" w:hAnsi="Times New Roman"/>
          <w:sz w:val="22"/>
          <w:szCs w:val="22"/>
        </w:rPr>
        <w:t>A</w:t>
      </w:r>
      <w:r>
        <w:rPr>
          <w:rFonts w:ascii="Times New Roman" w:hAnsi="Times New Roman" w:hint="eastAsia"/>
          <w:sz w:val="22"/>
          <w:szCs w:val="22"/>
        </w:rPr>
        <w:t xml:space="preserve">ccording to the LS [2] from RAN3, for inter-RAT mobility, the source node decides which one of the QoE configuration to keep when mobility from NR to LTE. Maybe further RAN2 work on how UE release the other QoE measurements during the inter-RAT handover is needed. In our understanding, for inter-RAT hand over from NR to LTE, before the source NR decide to perform the inter-RAT HO from NR to E-UTRA, the source NR node can know the supported service type by E-UTRA node via interaction with target E-UTRA node. If there is at least one QoE </w:t>
      </w:r>
      <w:r>
        <w:rPr>
          <w:rFonts w:ascii="Times New Roman" w:hAnsi="Times New Roman"/>
          <w:sz w:val="22"/>
          <w:szCs w:val="22"/>
        </w:rPr>
        <w:t>configuration</w:t>
      </w:r>
      <w:r>
        <w:rPr>
          <w:rFonts w:ascii="Times New Roman" w:hAnsi="Times New Roman" w:hint="eastAsia"/>
          <w:sz w:val="22"/>
          <w:szCs w:val="22"/>
        </w:rPr>
        <w:t xml:space="preserve"> including the service type supported by E-UTRA node, then the NR MN decides keep only one QoE configuration for a service type supported in E-UTRA node and releases other QoE </w:t>
      </w:r>
      <w:r>
        <w:rPr>
          <w:rFonts w:ascii="Times New Roman" w:hAnsi="Times New Roman"/>
          <w:sz w:val="22"/>
          <w:szCs w:val="22"/>
        </w:rPr>
        <w:t>configuration</w:t>
      </w:r>
      <w:r>
        <w:rPr>
          <w:rFonts w:ascii="Times New Roman" w:hAnsi="Times New Roman" w:hint="eastAsia"/>
          <w:sz w:val="22"/>
          <w:szCs w:val="22"/>
        </w:rPr>
        <w:t>. So it is proposed that:</w:t>
      </w:r>
    </w:p>
    <w:p w14:paraId="08FB83F1" w14:textId="4001EF3E" w:rsidR="00C75DBE" w:rsidRPr="00C75DBE" w:rsidRDefault="00C75DBE" w:rsidP="00C75DBE">
      <w:pPr>
        <w:pStyle w:val="a8"/>
        <w:spacing w:line="288" w:lineRule="auto"/>
        <w:rPr>
          <w:rFonts w:ascii="Times New Roman" w:hAnsi="Times New Roman"/>
          <w:b/>
          <w:sz w:val="22"/>
          <w:szCs w:val="22"/>
        </w:rPr>
      </w:pPr>
      <w:r w:rsidRPr="00C75DBE">
        <w:rPr>
          <w:rFonts w:ascii="Times New Roman" w:hAnsi="Times New Roman" w:hint="eastAsia"/>
          <w:b/>
          <w:sz w:val="22"/>
          <w:szCs w:val="22"/>
        </w:rPr>
        <w:t xml:space="preserve">Proposal 1: Before performing inter-RAT HO from NR to LTE, </w:t>
      </w:r>
      <w:r w:rsidR="007020C7">
        <w:rPr>
          <w:rFonts w:ascii="Times New Roman" w:hAnsi="Times New Roman" w:hint="eastAsia"/>
          <w:b/>
          <w:sz w:val="22"/>
          <w:szCs w:val="22"/>
        </w:rPr>
        <w:t>the source NR node can</w:t>
      </w:r>
      <w:r w:rsidRPr="00C75DBE">
        <w:rPr>
          <w:rFonts w:ascii="Times New Roman" w:hAnsi="Times New Roman" w:hint="eastAsia"/>
          <w:b/>
          <w:sz w:val="22"/>
          <w:szCs w:val="22"/>
        </w:rPr>
        <w:t xml:space="preserve"> keep</w:t>
      </w:r>
      <w:r w:rsidR="007020C7">
        <w:rPr>
          <w:rFonts w:ascii="Times New Roman" w:hAnsi="Times New Roman" w:hint="eastAsia"/>
          <w:b/>
          <w:sz w:val="22"/>
          <w:szCs w:val="22"/>
        </w:rPr>
        <w:t xml:space="preserve"> </w:t>
      </w:r>
      <w:r w:rsidR="007020C7" w:rsidRPr="00C75DBE">
        <w:rPr>
          <w:rFonts w:ascii="Times New Roman" w:hAnsi="Times New Roman" w:hint="eastAsia"/>
          <w:b/>
          <w:sz w:val="22"/>
          <w:szCs w:val="22"/>
        </w:rPr>
        <w:t>at most</w:t>
      </w:r>
      <w:r w:rsidRPr="00C75DBE">
        <w:rPr>
          <w:rFonts w:ascii="Times New Roman" w:hAnsi="Times New Roman" w:hint="eastAsia"/>
          <w:b/>
          <w:sz w:val="22"/>
          <w:szCs w:val="22"/>
        </w:rPr>
        <w:t xml:space="preserve"> one QoE configuration for the service type supported by target E-UTRA node and release </w:t>
      </w:r>
      <w:r w:rsidR="00657437">
        <w:rPr>
          <w:rFonts w:ascii="Times New Roman" w:hAnsi="Times New Roman" w:hint="eastAsia"/>
          <w:b/>
          <w:sz w:val="22"/>
          <w:szCs w:val="22"/>
        </w:rPr>
        <w:t xml:space="preserve">the </w:t>
      </w:r>
      <w:r w:rsidRPr="00C75DBE">
        <w:rPr>
          <w:rFonts w:ascii="Times New Roman" w:hAnsi="Times New Roman" w:hint="eastAsia"/>
          <w:b/>
          <w:sz w:val="22"/>
          <w:szCs w:val="22"/>
        </w:rPr>
        <w:t xml:space="preserve">other QoE </w:t>
      </w:r>
      <w:r w:rsidRPr="00C75DBE">
        <w:rPr>
          <w:rFonts w:ascii="Times New Roman" w:hAnsi="Times New Roman"/>
          <w:b/>
          <w:sz w:val="22"/>
          <w:szCs w:val="22"/>
        </w:rPr>
        <w:t>configuration</w:t>
      </w:r>
      <w:r w:rsidR="00657437">
        <w:rPr>
          <w:rFonts w:ascii="Times New Roman" w:hAnsi="Times New Roman" w:hint="eastAsia"/>
          <w:b/>
          <w:sz w:val="22"/>
          <w:szCs w:val="22"/>
        </w:rPr>
        <w:t>s</w:t>
      </w:r>
      <w:r w:rsidRPr="00C75DBE">
        <w:rPr>
          <w:rFonts w:ascii="Times New Roman" w:hAnsi="Times New Roman" w:hint="eastAsia"/>
          <w:b/>
          <w:sz w:val="22"/>
          <w:szCs w:val="22"/>
        </w:rPr>
        <w:t>.</w:t>
      </w:r>
    </w:p>
    <w:p w14:paraId="1567C1A4" w14:textId="2D61FB18" w:rsidR="00C75DBE" w:rsidRDefault="007020C7" w:rsidP="007020C7">
      <w:pPr>
        <w:pStyle w:val="21"/>
        <w:rPr>
          <w:rFonts w:ascii="Times New Roman" w:hAnsi="Times New Roman"/>
          <w:sz w:val="22"/>
          <w:szCs w:val="22"/>
          <w:lang w:eastAsia="zh-CN"/>
        </w:rPr>
      </w:pPr>
      <w:r>
        <w:rPr>
          <w:rFonts w:hint="eastAsia"/>
        </w:rPr>
        <w:t>2.</w:t>
      </w:r>
      <w:r>
        <w:rPr>
          <w:rFonts w:hint="eastAsia"/>
          <w:lang w:eastAsia="zh-CN"/>
        </w:rPr>
        <w:t>2</w:t>
      </w:r>
      <w:r>
        <w:rPr>
          <w:rFonts w:hint="eastAsia"/>
        </w:rPr>
        <w:t xml:space="preserve"> </w:t>
      </w:r>
      <w:r>
        <w:rPr>
          <w:rFonts w:hint="eastAsia"/>
          <w:lang w:eastAsia="zh-CN"/>
        </w:rPr>
        <w:t>UE capabilities</w:t>
      </w:r>
    </w:p>
    <w:p w14:paraId="1696F779" w14:textId="32AE7D28" w:rsidR="00F870E7" w:rsidRDefault="00C75DBE" w:rsidP="00C75DBE">
      <w:pPr>
        <w:pStyle w:val="a8"/>
        <w:spacing w:line="288" w:lineRule="auto"/>
        <w:rPr>
          <w:rFonts w:ascii="Times New Roman" w:hAnsi="Times New Roman"/>
          <w:sz w:val="22"/>
          <w:szCs w:val="22"/>
        </w:rPr>
      </w:pPr>
      <w:r>
        <w:rPr>
          <w:rFonts w:ascii="Times New Roman" w:hAnsi="Times New Roman" w:hint="eastAsia"/>
          <w:sz w:val="22"/>
          <w:szCs w:val="22"/>
        </w:rPr>
        <w:t>In last</w:t>
      </w:r>
      <w:r w:rsidR="00F870E7">
        <w:rPr>
          <w:rFonts w:ascii="Times New Roman" w:hAnsi="Times New Roman" w:hint="eastAsia"/>
          <w:sz w:val="22"/>
          <w:szCs w:val="22"/>
        </w:rPr>
        <w:t xml:space="preserve"> RAN2</w:t>
      </w:r>
      <w:r>
        <w:rPr>
          <w:rFonts w:ascii="Times New Roman" w:hAnsi="Times New Roman" w:hint="eastAsia"/>
          <w:sz w:val="22"/>
          <w:szCs w:val="22"/>
        </w:rPr>
        <w:t xml:space="preserve"> meeting,</w:t>
      </w:r>
      <w:r w:rsidR="00F870E7">
        <w:rPr>
          <w:rFonts w:ascii="Times New Roman" w:hAnsi="Times New Roman" w:hint="eastAsia"/>
          <w:sz w:val="22"/>
          <w:szCs w:val="22"/>
        </w:rPr>
        <w:t xml:space="preserve"> it was agreed for non-Redcap UE, minimum memory requirement for IDLE/INACTIVE reports is 64KB. </w:t>
      </w:r>
      <w:r w:rsidR="00F870E7" w:rsidRPr="00F870E7">
        <w:rPr>
          <w:rFonts w:ascii="Times New Roman" w:hAnsi="Times New Roman"/>
          <w:sz w:val="22"/>
          <w:szCs w:val="22"/>
        </w:rPr>
        <w:t>This memory is in addition to 64KB used for QoE report storage during pause.</w:t>
      </w:r>
      <w:r w:rsidR="00F870E7">
        <w:rPr>
          <w:rFonts w:ascii="Times New Roman" w:hAnsi="Times New Roman" w:hint="eastAsia"/>
          <w:sz w:val="22"/>
          <w:szCs w:val="22"/>
        </w:rPr>
        <w:t xml:space="preserve"> But for Redcap/</w:t>
      </w:r>
      <w:proofErr w:type="spellStart"/>
      <w:r w:rsidR="00F870E7">
        <w:rPr>
          <w:rFonts w:ascii="Times New Roman" w:hAnsi="Times New Roman" w:hint="eastAsia"/>
          <w:sz w:val="22"/>
          <w:szCs w:val="22"/>
        </w:rPr>
        <w:t>eRedCap</w:t>
      </w:r>
      <w:proofErr w:type="spellEnd"/>
      <w:r w:rsidR="00F870E7">
        <w:rPr>
          <w:rFonts w:ascii="Times New Roman" w:hAnsi="Times New Roman" w:hint="eastAsia"/>
          <w:sz w:val="22"/>
          <w:szCs w:val="22"/>
        </w:rPr>
        <w:t xml:space="preserve"> UE, it is FFS whether the minimum requirement is 64kB total for both IDLE/INACTIVE and paused reports.</w:t>
      </w:r>
    </w:p>
    <w:p w14:paraId="6B04426B" w14:textId="790C0A04" w:rsidR="00F870E7" w:rsidRDefault="00F870E7" w:rsidP="00C75DBE">
      <w:pPr>
        <w:pStyle w:val="a8"/>
        <w:spacing w:line="288" w:lineRule="auto"/>
        <w:rPr>
          <w:rFonts w:ascii="Times New Roman" w:hAnsi="Times New Roman"/>
          <w:sz w:val="22"/>
          <w:szCs w:val="22"/>
        </w:rPr>
      </w:pPr>
      <w:r>
        <w:rPr>
          <w:rFonts w:ascii="Times New Roman" w:hAnsi="Times New Roman" w:hint="eastAsia"/>
          <w:sz w:val="22"/>
          <w:szCs w:val="22"/>
        </w:rPr>
        <w:t xml:space="preserve">In previous discussion on QoE, we did not distinguish the RedCap UEs and non-RedCap UEs, the when the network configure the QoE measurement to UE, the network may not send Redcap UE specific QoE </w:t>
      </w:r>
      <w:r>
        <w:rPr>
          <w:rFonts w:ascii="Times New Roman" w:hAnsi="Times New Roman"/>
          <w:sz w:val="22"/>
          <w:szCs w:val="22"/>
        </w:rPr>
        <w:t>configuration</w:t>
      </w:r>
      <w:r>
        <w:rPr>
          <w:rFonts w:ascii="Times New Roman" w:hAnsi="Times New Roman" w:hint="eastAsia"/>
          <w:sz w:val="22"/>
          <w:szCs w:val="22"/>
        </w:rPr>
        <w:t xml:space="preserve"> to RedCap UEs. The motivation of introduce the additional buffer for QoE measurement in RRC_IDLE/INACTIVE state is that UE may stay in IDLE/INACTIVE state for a long time, 64kB buffer is not sufficient for QoE configuration in RRC_IDLE/INACTIVE state. So we agree to introduce additional at least 64kB. If we limit the Redcap UEs only reuse the 64kB buffer for paused reports, the QoE </w:t>
      </w:r>
      <w:r>
        <w:rPr>
          <w:rFonts w:ascii="Times New Roman" w:hAnsi="Times New Roman"/>
          <w:sz w:val="22"/>
          <w:szCs w:val="22"/>
        </w:rPr>
        <w:t>measurement</w:t>
      </w:r>
      <w:r>
        <w:rPr>
          <w:rFonts w:ascii="Times New Roman" w:hAnsi="Times New Roman" w:hint="eastAsia"/>
          <w:sz w:val="22"/>
          <w:szCs w:val="22"/>
        </w:rPr>
        <w:t xml:space="preserve"> in RRC_IDLE/INACTIVE for Redcap UEs may not work well. So we think in this release, for QoE measurement in RRC_IDLE/INACTIVE state, there is no need to introduce more enhancements for RedCap/</w:t>
      </w:r>
      <w:proofErr w:type="spellStart"/>
      <w:r>
        <w:rPr>
          <w:rFonts w:ascii="Times New Roman" w:hAnsi="Times New Roman" w:hint="eastAsia"/>
          <w:sz w:val="22"/>
          <w:szCs w:val="22"/>
        </w:rPr>
        <w:t>eRedCap</w:t>
      </w:r>
      <w:proofErr w:type="spellEnd"/>
      <w:r>
        <w:rPr>
          <w:rFonts w:ascii="Times New Roman" w:hAnsi="Times New Roman" w:hint="eastAsia"/>
          <w:sz w:val="22"/>
          <w:szCs w:val="22"/>
        </w:rPr>
        <w:t xml:space="preserve"> UEs and not define RedCap/</w:t>
      </w:r>
      <w:proofErr w:type="spellStart"/>
      <w:r>
        <w:rPr>
          <w:rFonts w:ascii="Times New Roman" w:hAnsi="Times New Roman" w:hint="eastAsia"/>
          <w:sz w:val="22"/>
          <w:szCs w:val="22"/>
        </w:rPr>
        <w:t>eRadCap</w:t>
      </w:r>
      <w:proofErr w:type="spellEnd"/>
      <w:r>
        <w:rPr>
          <w:rFonts w:ascii="Times New Roman" w:hAnsi="Times New Roman" w:hint="eastAsia"/>
          <w:sz w:val="22"/>
          <w:szCs w:val="22"/>
        </w:rPr>
        <w:t xml:space="preserve"> specific UE capability.</w:t>
      </w:r>
    </w:p>
    <w:p w14:paraId="5DE94432" w14:textId="2E6CB859" w:rsidR="00F870E7" w:rsidRPr="00F8533A" w:rsidRDefault="00F870E7" w:rsidP="00C75DBE">
      <w:pPr>
        <w:pStyle w:val="a8"/>
        <w:spacing w:line="288" w:lineRule="auto"/>
        <w:rPr>
          <w:rFonts w:ascii="Times New Roman" w:hAnsi="Times New Roman"/>
          <w:b/>
          <w:sz w:val="22"/>
          <w:szCs w:val="22"/>
        </w:rPr>
      </w:pPr>
      <w:r w:rsidRPr="00F8533A">
        <w:rPr>
          <w:rFonts w:ascii="Times New Roman" w:hAnsi="Times New Roman" w:hint="eastAsia"/>
          <w:b/>
          <w:sz w:val="22"/>
          <w:szCs w:val="22"/>
        </w:rPr>
        <w:t>Proposal</w:t>
      </w:r>
      <w:r w:rsidR="00F8533A">
        <w:rPr>
          <w:rFonts w:ascii="Times New Roman" w:hAnsi="Times New Roman" w:hint="eastAsia"/>
          <w:b/>
          <w:sz w:val="22"/>
          <w:szCs w:val="22"/>
        </w:rPr>
        <w:t xml:space="preserve"> 2</w:t>
      </w:r>
      <w:r w:rsidRPr="00F8533A">
        <w:rPr>
          <w:rFonts w:ascii="Times New Roman" w:hAnsi="Times New Roman" w:hint="eastAsia"/>
          <w:b/>
          <w:sz w:val="22"/>
          <w:szCs w:val="22"/>
        </w:rPr>
        <w:t>: In this release, not introduce specific enhancement for Redcap/</w:t>
      </w:r>
      <w:proofErr w:type="spellStart"/>
      <w:r w:rsidRPr="00F8533A">
        <w:rPr>
          <w:rFonts w:ascii="Times New Roman" w:hAnsi="Times New Roman" w:hint="eastAsia"/>
          <w:b/>
          <w:sz w:val="22"/>
          <w:szCs w:val="22"/>
        </w:rPr>
        <w:t>eRedcap</w:t>
      </w:r>
      <w:proofErr w:type="spellEnd"/>
      <w:r w:rsidRPr="00F8533A">
        <w:rPr>
          <w:rFonts w:ascii="Times New Roman" w:hAnsi="Times New Roman" w:hint="eastAsia"/>
          <w:b/>
          <w:sz w:val="22"/>
          <w:szCs w:val="22"/>
        </w:rPr>
        <w:t xml:space="preserve"> UEs and not define RedCap/</w:t>
      </w:r>
      <w:proofErr w:type="spellStart"/>
      <w:r w:rsidRPr="00F8533A">
        <w:rPr>
          <w:rFonts w:ascii="Times New Roman" w:hAnsi="Times New Roman" w:hint="eastAsia"/>
          <w:b/>
          <w:sz w:val="22"/>
          <w:szCs w:val="22"/>
        </w:rPr>
        <w:t>eRadCap</w:t>
      </w:r>
      <w:proofErr w:type="spellEnd"/>
      <w:r w:rsidRPr="00F8533A">
        <w:rPr>
          <w:rFonts w:ascii="Times New Roman" w:hAnsi="Times New Roman" w:hint="eastAsia"/>
          <w:b/>
          <w:sz w:val="22"/>
          <w:szCs w:val="22"/>
        </w:rPr>
        <w:t xml:space="preserve"> specific UE capability.</w:t>
      </w:r>
    </w:p>
    <w:p w14:paraId="054747AD" w14:textId="77777777" w:rsidR="00F870E7" w:rsidRDefault="00F870E7" w:rsidP="00C75DBE">
      <w:pPr>
        <w:pStyle w:val="a8"/>
        <w:spacing w:line="288" w:lineRule="auto"/>
        <w:rPr>
          <w:rFonts w:ascii="Times New Roman" w:hAnsi="Times New Roman"/>
          <w:sz w:val="22"/>
          <w:szCs w:val="22"/>
        </w:rPr>
      </w:pPr>
    </w:p>
    <w:p w14:paraId="2CF5D56C" w14:textId="1D87B9F0" w:rsidR="00D425D5" w:rsidRPr="0071366D" w:rsidRDefault="00FE32C7" w:rsidP="000F100A">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ascii="Arial" w:eastAsia="等线" w:hAnsi="Arial"/>
          <w:sz w:val="36"/>
          <w:szCs w:val="20"/>
          <w:lang w:val="en-GB" w:eastAsia="ja-JP"/>
        </w:rPr>
      </w:pPr>
      <w:bookmarkStart w:id="6" w:name="_Ref189046994"/>
      <w:r>
        <w:rPr>
          <w:rFonts w:ascii="Arial" w:eastAsia="等线" w:hAnsi="Arial"/>
          <w:sz w:val="36"/>
          <w:szCs w:val="20"/>
          <w:lang w:val="en-GB" w:eastAsia="ja-JP"/>
        </w:rPr>
        <w:t xml:space="preserve">3 </w:t>
      </w:r>
      <w:r w:rsidR="000F100A">
        <w:rPr>
          <w:rFonts w:ascii="Arial" w:eastAsia="等线" w:hAnsi="Arial"/>
          <w:sz w:val="36"/>
          <w:szCs w:val="20"/>
          <w:lang w:val="en-GB" w:eastAsia="ja-JP"/>
        </w:rPr>
        <w:t>Conclusions</w:t>
      </w:r>
    </w:p>
    <w:p w14:paraId="6E095B4F" w14:textId="36406FFD" w:rsidR="00D425D5" w:rsidRPr="0071366D" w:rsidRDefault="00D425D5" w:rsidP="000F100A">
      <w:pPr>
        <w:overflowPunct w:val="0"/>
        <w:autoSpaceDE w:val="0"/>
        <w:autoSpaceDN w:val="0"/>
        <w:adjustRightInd w:val="0"/>
        <w:spacing w:after="120" w:line="288" w:lineRule="auto"/>
        <w:jc w:val="both"/>
        <w:textAlignment w:val="baseline"/>
        <w:rPr>
          <w:rFonts w:eastAsia="等线"/>
          <w:sz w:val="22"/>
          <w:lang w:val="en-GB"/>
        </w:rPr>
      </w:pPr>
      <w:r w:rsidRPr="0071366D">
        <w:rPr>
          <w:rFonts w:eastAsia="等线"/>
          <w:sz w:val="22"/>
          <w:lang w:val="en-GB"/>
        </w:rPr>
        <w:t>According to the above discussion, the following</w:t>
      </w:r>
      <w:r w:rsidR="00945798">
        <w:rPr>
          <w:rFonts w:eastAsia="等线"/>
          <w:sz w:val="22"/>
          <w:lang w:val="en-GB"/>
        </w:rPr>
        <w:t xml:space="preserve"> </w:t>
      </w:r>
      <w:r w:rsidRPr="0071366D">
        <w:rPr>
          <w:rFonts w:eastAsia="等线" w:hint="eastAsia"/>
          <w:sz w:val="22"/>
          <w:lang w:val="en-GB"/>
        </w:rPr>
        <w:t>proposal</w:t>
      </w:r>
      <w:r w:rsidRPr="0071366D">
        <w:rPr>
          <w:rFonts w:eastAsia="等线"/>
          <w:sz w:val="22"/>
          <w:lang w:val="en-GB"/>
        </w:rPr>
        <w:t>s are made:</w:t>
      </w:r>
    </w:p>
    <w:p w14:paraId="641C6836" w14:textId="77777777" w:rsidR="00657437" w:rsidRPr="00C75DBE" w:rsidRDefault="00657437" w:rsidP="00657437">
      <w:pPr>
        <w:pStyle w:val="a8"/>
        <w:spacing w:line="288" w:lineRule="auto"/>
        <w:rPr>
          <w:rFonts w:ascii="Times New Roman" w:hAnsi="Times New Roman"/>
          <w:b/>
          <w:sz w:val="22"/>
          <w:szCs w:val="22"/>
        </w:rPr>
      </w:pPr>
      <w:r w:rsidRPr="00C75DBE">
        <w:rPr>
          <w:rFonts w:ascii="Times New Roman" w:hAnsi="Times New Roman" w:hint="eastAsia"/>
          <w:b/>
          <w:sz w:val="22"/>
          <w:szCs w:val="22"/>
        </w:rPr>
        <w:t xml:space="preserve">Proposal 1: Before performing inter-RAT HO from NR to LTE, </w:t>
      </w:r>
      <w:r>
        <w:rPr>
          <w:rFonts w:ascii="Times New Roman" w:hAnsi="Times New Roman" w:hint="eastAsia"/>
          <w:b/>
          <w:sz w:val="22"/>
          <w:szCs w:val="22"/>
        </w:rPr>
        <w:t>the source NR node can</w:t>
      </w:r>
      <w:r w:rsidRPr="00C75DBE">
        <w:rPr>
          <w:rFonts w:ascii="Times New Roman" w:hAnsi="Times New Roman" w:hint="eastAsia"/>
          <w:b/>
          <w:sz w:val="22"/>
          <w:szCs w:val="22"/>
        </w:rPr>
        <w:t xml:space="preserve"> keep</w:t>
      </w:r>
      <w:r>
        <w:rPr>
          <w:rFonts w:ascii="Times New Roman" w:hAnsi="Times New Roman" w:hint="eastAsia"/>
          <w:b/>
          <w:sz w:val="22"/>
          <w:szCs w:val="22"/>
        </w:rPr>
        <w:t xml:space="preserve"> </w:t>
      </w:r>
      <w:r w:rsidRPr="00C75DBE">
        <w:rPr>
          <w:rFonts w:ascii="Times New Roman" w:hAnsi="Times New Roman" w:hint="eastAsia"/>
          <w:b/>
          <w:sz w:val="22"/>
          <w:szCs w:val="22"/>
        </w:rPr>
        <w:t xml:space="preserve">at most one QoE configuration for the service type supported by target E-UTRA node and release </w:t>
      </w:r>
      <w:r>
        <w:rPr>
          <w:rFonts w:ascii="Times New Roman" w:hAnsi="Times New Roman" w:hint="eastAsia"/>
          <w:b/>
          <w:sz w:val="22"/>
          <w:szCs w:val="22"/>
        </w:rPr>
        <w:t xml:space="preserve">the </w:t>
      </w:r>
      <w:r w:rsidRPr="00C75DBE">
        <w:rPr>
          <w:rFonts w:ascii="Times New Roman" w:hAnsi="Times New Roman" w:hint="eastAsia"/>
          <w:b/>
          <w:sz w:val="22"/>
          <w:szCs w:val="22"/>
        </w:rPr>
        <w:t xml:space="preserve">other QoE </w:t>
      </w:r>
      <w:r w:rsidRPr="00C75DBE">
        <w:rPr>
          <w:rFonts w:ascii="Times New Roman" w:hAnsi="Times New Roman"/>
          <w:b/>
          <w:sz w:val="22"/>
          <w:szCs w:val="22"/>
        </w:rPr>
        <w:t>configuration</w:t>
      </w:r>
      <w:r>
        <w:rPr>
          <w:rFonts w:ascii="Times New Roman" w:hAnsi="Times New Roman" w:hint="eastAsia"/>
          <w:b/>
          <w:sz w:val="22"/>
          <w:szCs w:val="22"/>
        </w:rPr>
        <w:t>s</w:t>
      </w:r>
      <w:r w:rsidRPr="00C75DBE">
        <w:rPr>
          <w:rFonts w:ascii="Times New Roman" w:hAnsi="Times New Roman" w:hint="eastAsia"/>
          <w:b/>
          <w:sz w:val="22"/>
          <w:szCs w:val="22"/>
        </w:rPr>
        <w:t>.</w:t>
      </w:r>
    </w:p>
    <w:p w14:paraId="2A01F814" w14:textId="77777777" w:rsidR="00F8533A" w:rsidRPr="00F8533A" w:rsidRDefault="00F8533A" w:rsidP="00F8533A">
      <w:pPr>
        <w:pStyle w:val="a8"/>
        <w:spacing w:line="288" w:lineRule="auto"/>
        <w:rPr>
          <w:rFonts w:ascii="Times New Roman" w:hAnsi="Times New Roman"/>
          <w:b/>
          <w:sz w:val="22"/>
          <w:szCs w:val="22"/>
        </w:rPr>
      </w:pPr>
      <w:r w:rsidRPr="00F8533A">
        <w:rPr>
          <w:rFonts w:ascii="Times New Roman" w:hAnsi="Times New Roman" w:hint="eastAsia"/>
          <w:b/>
          <w:sz w:val="22"/>
          <w:szCs w:val="22"/>
        </w:rPr>
        <w:t>Proposal</w:t>
      </w:r>
      <w:r>
        <w:rPr>
          <w:rFonts w:ascii="Times New Roman" w:hAnsi="Times New Roman" w:hint="eastAsia"/>
          <w:b/>
          <w:sz w:val="22"/>
          <w:szCs w:val="22"/>
        </w:rPr>
        <w:t xml:space="preserve"> 2</w:t>
      </w:r>
      <w:r w:rsidRPr="00F8533A">
        <w:rPr>
          <w:rFonts w:ascii="Times New Roman" w:hAnsi="Times New Roman" w:hint="eastAsia"/>
          <w:b/>
          <w:sz w:val="22"/>
          <w:szCs w:val="22"/>
        </w:rPr>
        <w:t>: In this release, not introduce specific enha</w:t>
      </w:r>
      <w:bookmarkStart w:id="7" w:name="_GoBack"/>
      <w:bookmarkEnd w:id="7"/>
      <w:r w:rsidRPr="00F8533A">
        <w:rPr>
          <w:rFonts w:ascii="Times New Roman" w:hAnsi="Times New Roman" w:hint="eastAsia"/>
          <w:b/>
          <w:sz w:val="22"/>
          <w:szCs w:val="22"/>
        </w:rPr>
        <w:t>ncement for Redcap/</w:t>
      </w:r>
      <w:proofErr w:type="spellStart"/>
      <w:r w:rsidRPr="00F8533A">
        <w:rPr>
          <w:rFonts w:ascii="Times New Roman" w:hAnsi="Times New Roman" w:hint="eastAsia"/>
          <w:b/>
          <w:sz w:val="22"/>
          <w:szCs w:val="22"/>
        </w:rPr>
        <w:t>eRedcap</w:t>
      </w:r>
      <w:proofErr w:type="spellEnd"/>
      <w:r w:rsidRPr="00F8533A">
        <w:rPr>
          <w:rFonts w:ascii="Times New Roman" w:hAnsi="Times New Roman" w:hint="eastAsia"/>
          <w:b/>
          <w:sz w:val="22"/>
          <w:szCs w:val="22"/>
        </w:rPr>
        <w:t xml:space="preserve"> UEs and not define RedCap/</w:t>
      </w:r>
      <w:proofErr w:type="spellStart"/>
      <w:r w:rsidRPr="00F8533A">
        <w:rPr>
          <w:rFonts w:ascii="Times New Roman" w:hAnsi="Times New Roman" w:hint="eastAsia"/>
          <w:b/>
          <w:sz w:val="22"/>
          <w:szCs w:val="22"/>
        </w:rPr>
        <w:t>eRadCap</w:t>
      </w:r>
      <w:proofErr w:type="spellEnd"/>
      <w:r w:rsidRPr="00F8533A">
        <w:rPr>
          <w:rFonts w:ascii="Times New Roman" w:hAnsi="Times New Roman" w:hint="eastAsia"/>
          <w:b/>
          <w:sz w:val="22"/>
          <w:szCs w:val="22"/>
        </w:rPr>
        <w:t xml:space="preserve"> specific UE capability.</w:t>
      </w:r>
    </w:p>
    <w:p w14:paraId="3760EA24" w14:textId="604B98E9" w:rsidR="00D425D5" w:rsidRPr="0071366D" w:rsidRDefault="00FE32C7" w:rsidP="00D425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Pr>
          <w:rFonts w:ascii="Arial" w:eastAsia="等线" w:hAnsi="Arial"/>
          <w:sz w:val="36"/>
          <w:szCs w:val="20"/>
          <w:lang w:val="en-GB" w:eastAsia="ja-JP"/>
        </w:rPr>
        <w:lastRenderedPageBreak/>
        <w:t xml:space="preserve">4 </w:t>
      </w:r>
      <w:r w:rsidR="00DD6CBB">
        <w:rPr>
          <w:rFonts w:ascii="Arial" w:eastAsia="等线" w:hAnsi="Arial"/>
          <w:sz w:val="36"/>
          <w:szCs w:val="20"/>
          <w:lang w:val="en-GB" w:eastAsia="ja-JP"/>
        </w:rPr>
        <w:t>References</w:t>
      </w:r>
    </w:p>
    <w:bookmarkEnd w:id="6"/>
    <w:p w14:paraId="59A355F0" w14:textId="77777777" w:rsidR="00CE5276" w:rsidRPr="00596435" w:rsidRDefault="00CE5276" w:rsidP="00CE5276">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Pr>
          <w:rFonts w:ascii="Times New Roman" w:hAnsi="Times New Roman"/>
          <w:sz w:val="22"/>
          <w:szCs w:val="22"/>
        </w:rPr>
        <w:t>Report of 3GPP TSG RAN2 meeting #12</w:t>
      </w:r>
      <w:r>
        <w:rPr>
          <w:rFonts w:ascii="Times New Roman" w:hAnsi="Times New Roman" w:hint="eastAsia"/>
          <w:sz w:val="22"/>
          <w:szCs w:val="22"/>
        </w:rPr>
        <w:t>3bis</w:t>
      </w:r>
    </w:p>
    <w:p w14:paraId="52FD4740" w14:textId="464DCB73" w:rsidR="00CE5276" w:rsidRDefault="00CE5276" w:rsidP="00CE5276">
      <w:pPr>
        <w:pStyle w:val="a8"/>
        <w:numPr>
          <w:ilvl w:val="0"/>
          <w:numId w:val="21"/>
        </w:numPr>
        <w:overflowPunct/>
        <w:autoSpaceDE/>
        <w:autoSpaceDN/>
        <w:adjustRightInd/>
        <w:spacing w:line="288" w:lineRule="auto"/>
        <w:textAlignment w:val="auto"/>
        <w:rPr>
          <w:rFonts w:ascii="Times New Roman" w:hAnsi="Times New Roman"/>
          <w:sz w:val="22"/>
          <w:szCs w:val="22"/>
        </w:rPr>
      </w:pPr>
      <w:r w:rsidRPr="00CE5276">
        <w:rPr>
          <w:rFonts w:ascii="Times New Roman" w:hAnsi="Times New Roman"/>
          <w:sz w:val="22"/>
          <w:szCs w:val="22"/>
        </w:rPr>
        <w:t>R3-235912</w:t>
      </w:r>
      <w:r w:rsidRPr="00CE5276">
        <w:rPr>
          <w:rFonts w:ascii="Times New Roman" w:hAnsi="Times New Roman"/>
          <w:sz w:val="22"/>
          <w:szCs w:val="22"/>
        </w:rPr>
        <w:tab/>
        <w:t>Reply LS on Priority information and NR-DC</w:t>
      </w:r>
    </w:p>
    <w:bookmarkEnd w:id="0"/>
    <w:bookmarkEnd w:id="1"/>
    <w:bookmarkEnd w:id="2"/>
    <w:bookmarkEnd w:id="3"/>
    <w:bookmarkEnd w:id="4"/>
    <w:p w14:paraId="437EBAA0" w14:textId="7A06D8F6" w:rsidR="006D41F1" w:rsidRPr="00CB0891" w:rsidRDefault="006D41F1" w:rsidP="00945798">
      <w:pPr>
        <w:spacing w:after="120" w:line="288" w:lineRule="auto"/>
        <w:ind w:left="420"/>
      </w:pPr>
    </w:p>
    <w:sectPr w:rsidR="006D41F1" w:rsidRPr="00CB0891" w:rsidSect="00D425D5">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B02EAC" w14:textId="77777777" w:rsidR="0077730F" w:rsidRDefault="0077730F">
      <w:r>
        <w:separator/>
      </w:r>
    </w:p>
  </w:endnote>
  <w:endnote w:type="continuationSeparator" w:id="0">
    <w:p w14:paraId="2D14D7E1" w14:textId="77777777" w:rsidR="0077730F" w:rsidRDefault="0077730F">
      <w:r>
        <w:continuationSeparator/>
      </w:r>
    </w:p>
  </w:endnote>
  <w:endnote w:type="continuationNotice" w:id="1">
    <w:p w14:paraId="157D7D82" w14:textId="77777777" w:rsidR="0077730F" w:rsidRDefault="007773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5ADF9" w14:textId="77777777" w:rsidR="0077730F" w:rsidRDefault="0077730F">
      <w:r>
        <w:separator/>
      </w:r>
    </w:p>
  </w:footnote>
  <w:footnote w:type="continuationSeparator" w:id="0">
    <w:p w14:paraId="44DE2600" w14:textId="77777777" w:rsidR="0077730F" w:rsidRDefault="0077730F">
      <w:r>
        <w:continuationSeparator/>
      </w:r>
    </w:p>
  </w:footnote>
  <w:footnote w:type="continuationNotice" w:id="1">
    <w:p w14:paraId="46A1681A" w14:textId="77777777" w:rsidR="0077730F" w:rsidRDefault="0077730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196510"/>
    <w:multiLevelType w:val="hybridMultilevel"/>
    <w:tmpl w:val="7E30674A"/>
    <w:lvl w:ilvl="0" w:tplc="F3940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B213D9"/>
    <w:multiLevelType w:val="hybridMultilevel"/>
    <w:tmpl w:val="FDAA02E6"/>
    <w:lvl w:ilvl="0" w:tplc="2EB673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8AF4A23"/>
    <w:multiLevelType w:val="hybridMultilevel"/>
    <w:tmpl w:val="1DF81E48"/>
    <w:lvl w:ilvl="0" w:tplc="0C44CC4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4"/>
  </w:num>
  <w:num w:numId="4">
    <w:abstractNumId w:val="16"/>
  </w:num>
  <w:num w:numId="5">
    <w:abstractNumId w:val="4"/>
  </w:num>
  <w:num w:numId="6">
    <w:abstractNumId w:val="5"/>
  </w:num>
  <w:num w:numId="7">
    <w:abstractNumId w:val="3"/>
  </w:num>
  <w:num w:numId="8">
    <w:abstractNumId w:val="20"/>
  </w:num>
  <w:num w:numId="9">
    <w:abstractNumId w:val="6"/>
  </w:num>
  <w:num w:numId="10">
    <w:abstractNumId w:val="18"/>
  </w:num>
  <w:num w:numId="11">
    <w:abstractNumId w:val="13"/>
    <w:lvlOverride w:ilvl="0">
      <w:startOverride w:val="1"/>
    </w:lvlOverride>
  </w:num>
  <w:num w:numId="12">
    <w:abstractNumId w:val="7"/>
    <w:lvlOverride w:ilvl="0">
      <w:startOverride w:val="1"/>
    </w:lvlOverride>
  </w:num>
  <w:num w:numId="13">
    <w:abstractNumId w:val="13"/>
    <w:lvlOverride w:ilvl="0">
      <w:startOverride w:val="1"/>
    </w:lvlOverride>
  </w:num>
  <w:num w:numId="14">
    <w:abstractNumId w:val="7"/>
    <w:lvlOverride w:ilvl="0">
      <w:startOverride w:val="1"/>
    </w:lvlOverride>
  </w:num>
  <w:num w:numId="15">
    <w:abstractNumId w:val="12"/>
  </w:num>
  <w:num w:numId="16">
    <w:abstractNumId w:val="9"/>
  </w:num>
  <w:num w:numId="17">
    <w:abstractNumId w:val="13"/>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5"/>
  </w:num>
  <w:num w:numId="22">
    <w:abstractNumId w:val="1"/>
  </w:num>
  <w:num w:numId="23">
    <w:abstractNumId w:val="19"/>
  </w:num>
  <w:num w:numId="24">
    <w:abstractNumId w:val="2"/>
  </w:num>
  <w:num w:numId="25">
    <w:abstractNumId w:val="8"/>
  </w:num>
  <w:num w:numId="26">
    <w:abstractNumId w:val="10"/>
  </w:num>
  <w:num w:numId="2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1948"/>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5F40"/>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49C8"/>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4B7"/>
    <w:rsid w:val="000E4874"/>
    <w:rsid w:val="000E4D53"/>
    <w:rsid w:val="000E55EE"/>
    <w:rsid w:val="000F06D6"/>
    <w:rsid w:val="000F0802"/>
    <w:rsid w:val="000F0EB1"/>
    <w:rsid w:val="000F100A"/>
    <w:rsid w:val="000F1106"/>
    <w:rsid w:val="000F1CA9"/>
    <w:rsid w:val="000F3BE9"/>
    <w:rsid w:val="000F3F65"/>
    <w:rsid w:val="000F3F6C"/>
    <w:rsid w:val="000F45CC"/>
    <w:rsid w:val="000F5B48"/>
    <w:rsid w:val="000F6DF3"/>
    <w:rsid w:val="001005FF"/>
    <w:rsid w:val="001029DC"/>
    <w:rsid w:val="00102A93"/>
    <w:rsid w:val="0010492A"/>
    <w:rsid w:val="00105B59"/>
    <w:rsid w:val="001062FB"/>
    <w:rsid w:val="001063E6"/>
    <w:rsid w:val="00106B94"/>
    <w:rsid w:val="001110BC"/>
    <w:rsid w:val="00111F8B"/>
    <w:rsid w:val="00113329"/>
    <w:rsid w:val="00113423"/>
    <w:rsid w:val="00113CF4"/>
    <w:rsid w:val="00113CF8"/>
    <w:rsid w:val="00113E86"/>
    <w:rsid w:val="001143B1"/>
    <w:rsid w:val="00114478"/>
    <w:rsid w:val="001144AD"/>
    <w:rsid w:val="00114AF9"/>
    <w:rsid w:val="00114D95"/>
    <w:rsid w:val="001153EA"/>
    <w:rsid w:val="001154F3"/>
    <w:rsid w:val="00115643"/>
    <w:rsid w:val="00115CAD"/>
    <w:rsid w:val="00116765"/>
    <w:rsid w:val="00116A0E"/>
    <w:rsid w:val="00116C46"/>
    <w:rsid w:val="00117D33"/>
    <w:rsid w:val="00120A6A"/>
    <w:rsid w:val="001219F5"/>
    <w:rsid w:val="00121A20"/>
    <w:rsid w:val="0012377F"/>
    <w:rsid w:val="00124314"/>
    <w:rsid w:val="00126B4A"/>
    <w:rsid w:val="00127AA7"/>
    <w:rsid w:val="0013140C"/>
    <w:rsid w:val="00132FD0"/>
    <w:rsid w:val="001344C0"/>
    <w:rsid w:val="001346FA"/>
    <w:rsid w:val="00134938"/>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1CDE"/>
    <w:rsid w:val="00163C15"/>
    <w:rsid w:val="00163DC5"/>
    <w:rsid w:val="00164C64"/>
    <w:rsid w:val="001659C1"/>
    <w:rsid w:val="00165AE8"/>
    <w:rsid w:val="00167485"/>
    <w:rsid w:val="00170245"/>
    <w:rsid w:val="0017176A"/>
    <w:rsid w:val="00173A8E"/>
    <w:rsid w:val="0017502C"/>
    <w:rsid w:val="0017632F"/>
    <w:rsid w:val="00177961"/>
    <w:rsid w:val="00177A02"/>
    <w:rsid w:val="001810DB"/>
    <w:rsid w:val="0018143F"/>
    <w:rsid w:val="00181FF8"/>
    <w:rsid w:val="001854CD"/>
    <w:rsid w:val="001856CE"/>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901"/>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C0"/>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4C07"/>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9B4"/>
    <w:rsid w:val="002A1D4E"/>
    <w:rsid w:val="002A2510"/>
    <w:rsid w:val="002A25A4"/>
    <w:rsid w:val="002A2869"/>
    <w:rsid w:val="002A3026"/>
    <w:rsid w:val="002A45B9"/>
    <w:rsid w:val="002B24D6"/>
    <w:rsid w:val="002B6B5A"/>
    <w:rsid w:val="002B6B8E"/>
    <w:rsid w:val="002C01DF"/>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3B4F"/>
    <w:rsid w:val="002F4C28"/>
    <w:rsid w:val="00301A15"/>
    <w:rsid w:val="00301CE6"/>
    <w:rsid w:val="0030256B"/>
    <w:rsid w:val="003046AB"/>
    <w:rsid w:val="0030501F"/>
    <w:rsid w:val="00305F9D"/>
    <w:rsid w:val="003065F5"/>
    <w:rsid w:val="0030674A"/>
    <w:rsid w:val="00307387"/>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57524"/>
    <w:rsid w:val="003602D9"/>
    <w:rsid w:val="00360434"/>
    <w:rsid w:val="003604CE"/>
    <w:rsid w:val="0036299E"/>
    <w:rsid w:val="00364885"/>
    <w:rsid w:val="003669F8"/>
    <w:rsid w:val="003703FD"/>
    <w:rsid w:val="00370E47"/>
    <w:rsid w:val="00371CC7"/>
    <w:rsid w:val="00372075"/>
    <w:rsid w:val="003742AC"/>
    <w:rsid w:val="00376769"/>
    <w:rsid w:val="0037700B"/>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1F34"/>
    <w:rsid w:val="003C2702"/>
    <w:rsid w:val="003C42C5"/>
    <w:rsid w:val="003C5938"/>
    <w:rsid w:val="003C5F0C"/>
    <w:rsid w:val="003C600A"/>
    <w:rsid w:val="003C7806"/>
    <w:rsid w:val="003D109F"/>
    <w:rsid w:val="003D1FF5"/>
    <w:rsid w:val="003D2238"/>
    <w:rsid w:val="003D2478"/>
    <w:rsid w:val="003D2751"/>
    <w:rsid w:val="003D3C41"/>
    <w:rsid w:val="003D3C45"/>
    <w:rsid w:val="003D5464"/>
    <w:rsid w:val="003D54C7"/>
    <w:rsid w:val="003D5B1F"/>
    <w:rsid w:val="003E0C22"/>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18"/>
    <w:rsid w:val="0041263E"/>
    <w:rsid w:val="00412873"/>
    <w:rsid w:val="00413AAC"/>
    <w:rsid w:val="00413E92"/>
    <w:rsid w:val="00415540"/>
    <w:rsid w:val="004158AC"/>
    <w:rsid w:val="00416336"/>
    <w:rsid w:val="004210F1"/>
    <w:rsid w:val="00421105"/>
    <w:rsid w:val="00422AA4"/>
    <w:rsid w:val="004242F4"/>
    <w:rsid w:val="00425E3E"/>
    <w:rsid w:val="00427248"/>
    <w:rsid w:val="0043117A"/>
    <w:rsid w:val="00432EE6"/>
    <w:rsid w:val="00434F5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1A9D"/>
    <w:rsid w:val="004826A3"/>
    <w:rsid w:val="00482EE4"/>
    <w:rsid w:val="00483B1B"/>
    <w:rsid w:val="0048492A"/>
    <w:rsid w:val="004865B7"/>
    <w:rsid w:val="00491CBB"/>
    <w:rsid w:val="00492BC5"/>
    <w:rsid w:val="004952FB"/>
    <w:rsid w:val="004956DB"/>
    <w:rsid w:val="004964F1"/>
    <w:rsid w:val="00497E52"/>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26F"/>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24AF7"/>
    <w:rsid w:val="00530DBE"/>
    <w:rsid w:val="005324D5"/>
    <w:rsid w:val="005333A2"/>
    <w:rsid w:val="00534B59"/>
    <w:rsid w:val="00534E33"/>
    <w:rsid w:val="00536759"/>
    <w:rsid w:val="00536865"/>
    <w:rsid w:val="00537C62"/>
    <w:rsid w:val="00543B43"/>
    <w:rsid w:val="00544184"/>
    <w:rsid w:val="00546182"/>
    <w:rsid w:val="00546970"/>
    <w:rsid w:val="0055015B"/>
    <w:rsid w:val="00552F2A"/>
    <w:rsid w:val="0055343F"/>
    <w:rsid w:val="00554B55"/>
    <w:rsid w:val="00554E19"/>
    <w:rsid w:val="0056121F"/>
    <w:rsid w:val="00562C9F"/>
    <w:rsid w:val="00565D36"/>
    <w:rsid w:val="005660B7"/>
    <w:rsid w:val="00566A2A"/>
    <w:rsid w:val="00566E78"/>
    <w:rsid w:val="00572505"/>
    <w:rsid w:val="0057434E"/>
    <w:rsid w:val="00577E9B"/>
    <w:rsid w:val="005822D4"/>
    <w:rsid w:val="00582809"/>
    <w:rsid w:val="005831E2"/>
    <w:rsid w:val="00584F3F"/>
    <w:rsid w:val="0058798C"/>
    <w:rsid w:val="005900FA"/>
    <w:rsid w:val="00591772"/>
    <w:rsid w:val="00592E4A"/>
    <w:rsid w:val="005935A4"/>
    <w:rsid w:val="005948C2"/>
    <w:rsid w:val="00594F46"/>
    <w:rsid w:val="00595D1C"/>
    <w:rsid w:val="00595DCA"/>
    <w:rsid w:val="00596002"/>
    <w:rsid w:val="0059779B"/>
    <w:rsid w:val="005A060F"/>
    <w:rsid w:val="005A0A46"/>
    <w:rsid w:val="005A209A"/>
    <w:rsid w:val="005A345C"/>
    <w:rsid w:val="005A4764"/>
    <w:rsid w:val="005A4F93"/>
    <w:rsid w:val="005A662D"/>
    <w:rsid w:val="005B087E"/>
    <w:rsid w:val="005B1409"/>
    <w:rsid w:val="005B1ED8"/>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325"/>
    <w:rsid w:val="00613B98"/>
    <w:rsid w:val="00613C12"/>
    <w:rsid w:val="00615364"/>
    <w:rsid w:val="0061565C"/>
    <w:rsid w:val="0061667A"/>
    <w:rsid w:val="0062028A"/>
    <w:rsid w:val="00620A71"/>
    <w:rsid w:val="00620D80"/>
    <w:rsid w:val="0062125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CF8"/>
    <w:rsid w:val="00652E57"/>
    <w:rsid w:val="0065438A"/>
    <w:rsid w:val="00655733"/>
    <w:rsid w:val="00655ACD"/>
    <w:rsid w:val="0065677C"/>
    <w:rsid w:val="00656A92"/>
    <w:rsid w:val="00656DDE"/>
    <w:rsid w:val="00657437"/>
    <w:rsid w:val="00657C6D"/>
    <w:rsid w:val="0066011D"/>
    <w:rsid w:val="006607C0"/>
    <w:rsid w:val="00660854"/>
    <w:rsid w:val="00660DD6"/>
    <w:rsid w:val="006613A6"/>
    <w:rsid w:val="00662064"/>
    <w:rsid w:val="006627A2"/>
    <w:rsid w:val="006634E6"/>
    <w:rsid w:val="00664570"/>
    <w:rsid w:val="006651C4"/>
    <w:rsid w:val="006655EE"/>
    <w:rsid w:val="006672D3"/>
    <w:rsid w:val="00667EE7"/>
    <w:rsid w:val="00670922"/>
    <w:rsid w:val="00670BE1"/>
    <w:rsid w:val="0067218F"/>
    <w:rsid w:val="00673242"/>
    <w:rsid w:val="00673AC0"/>
    <w:rsid w:val="00673F5A"/>
    <w:rsid w:val="006741F2"/>
    <w:rsid w:val="00674387"/>
    <w:rsid w:val="00674CC3"/>
    <w:rsid w:val="00674F80"/>
    <w:rsid w:val="00675C72"/>
    <w:rsid w:val="006763D8"/>
    <w:rsid w:val="006771F9"/>
    <w:rsid w:val="006776AF"/>
    <w:rsid w:val="006776D7"/>
    <w:rsid w:val="00680E1F"/>
    <w:rsid w:val="00681003"/>
    <w:rsid w:val="006817C9"/>
    <w:rsid w:val="00681AF7"/>
    <w:rsid w:val="00682BFD"/>
    <w:rsid w:val="00683ECE"/>
    <w:rsid w:val="0068649B"/>
    <w:rsid w:val="006870E1"/>
    <w:rsid w:val="00691DEF"/>
    <w:rsid w:val="00692BFB"/>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4E56"/>
    <w:rsid w:val="006B4F64"/>
    <w:rsid w:val="006B50CF"/>
    <w:rsid w:val="006B526D"/>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5D43"/>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0B81"/>
    <w:rsid w:val="006F1B70"/>
    <w:rsid w:val="006F30D0"/>
    <w:rsid w:val="006F341D"/>
    <w:rsid w:val="006F3CDE"/>
    <w:rsid w:val="006F464A"/>
    <w:rsid w:val="006F58D4"/>
    <w:rsid w:val="006F6582"/>
    <w:rsid w:val="006F6FB0"/>
    <w:rsid w:val="007020C7"/>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3DF"/>
    <w:rsid w:val="00756E91"/>
    <w:rsid w:val="007571E1"/>
    <w:rsid w:val="00757A16"/>
    <w:rsid w:val="007604B2"/>
    <w:rsid w:val="00760F08"/>
    <w:rsid w:val="007620D4"/>
    <w:rsid w:val="00765281"/>
    <w:rsid w:val="00765940"/>
    <w:rsid w:val="0076680C"/>
    <w:rsid w:val="00766BAD"/>
    <w:rsid w:val="00766D39"/>
    <w:rsid w:val="00766E58"/>
    <w:rsid w:val="007676FF"/>
    <w:rsid w:val="007729A2"/>
    <w:rsid w:val="00772D37"/>
    <w:rsid w:val="007755F2"/>
    <w:rsid w:val="00776821"/>
    <w:rsid w:val="00776971"/>
    <w:rsid w:val="00777291"/>
    <w:rsid w:val="0077730F"/>
    <w:rsid w:val="00780A80"/>
    <w:rsid w:val="0078177E"/>
    <w:rsid w:val="007817B0"/>
    <w:rsid w:val="0078269F"/>
    <w:rsid w:val="0078304C"/>
    <w:rsid w:val="00783673"/>
    <w:rsid w:val="00785490"/>
    <w:rsid w:val="00787133"/>
    <w:rsid w:val="00787F24"/>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AF"/>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5AA"/>
    <w:rsid w:val="008C6AE8"/>
    <w:rsid w:val="008C7573"/>
    <w:rsid w:val="008D00A5"/>
    <w:rsid w:val="008D1810"/>
    <w:rsid w:val="008D1FE4"/>
    <w:rsid w:val="008D27B5"/>
    <w:rsid w:val="008D32E1"/>
    <w:rsid w:val="008D34F1"/>
    <w:rsid w:val="008D38EA"/>
    <w:rsid w:val="008D39D8"/>
    <w:rsid w:val="008D4488"/>
    <w:rsid w:val="008D4A11"/>
    <w:rsid w:val="008D4ACE"/>
    <w:rsid w:val="008D6D1A"/>
    <w:rsid w:val="008E065E"/>
    <w:rsid w:val="008E0927"/>
    <w:rsid w:val="008E1909"/>
    <w:rsid w:val="008E1BD3"/>
    <w:rsid w:val="008E2912"/>
    <w:rsid w:val="008E49FD"/>
    <w:rsid w:val="008E56DB"/>
    <w:rsid w:val="008F121F"/>
    <w:rsid w:val="008F1A27"/>
    <w:rsid w:val="008F1EAB"/>
    <w:rsid w:val="008F33DC"/>
    <w:rsid w:val="008F4687"/>
    <w:rsid w:val="008F477F"/>
    <w:rsid w:val="008F52E9"/>
    <w:rsid w:val="0090198B"/>
    <w:rsid w:val="00901A2D"/>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798"/>
    <w:rsid w:val="00945C05"/>
    <w:rsid w:val="009467B9"/>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100"/>
    <w:rsid w:val="00973731"/>
    <w:rsid w:val="009749E6"/>
    <w:rsid w:val="0097603D"/>
    <w:rsid w:val="009764CE"/>
    <w:rsid w:val="0097680B"/>
    <w:rsid w:val="00976949"/>
    <w:rsid w:val="00980332"/>
    <w:rsid w:val="00980477"/>
    <w:rsid w:val="0098061D"/>
    <w:rsid w:val="009815E6"/>
    <w:rsid w:val="009822DE"/>
    <w:rsid w:val="00982734"/>
    <w:rsid w:val="009847D1"/>
    <w:rsid w:val="00984AC8"/>
    <w:rsid w:val="00985253"/>
    <w:rsid w:val="009853B3"/>
    <w:rsid w:val="009855F7"/>
    <w:rsid w:val="009859A4"/>
    <w:rsid w:val="00990630"/>
    <w:rsid w:val="00991761"/>
    <w:rsid w:val="009932DF"/>
    <w:rsid w:val="009934CD"/>
    <w:rsid w:val="009947F1"/>
    <w:rsid w:val="00994DCA"/>
    <w:rsid w:val="009960EC"/>
    <w:rsid w:val="009970DD"/>
    <w:rsid w:val="009A04BF"/>
    <w:rsid w:val="009A052F"/>
    <w:rsid w:val="009A09E4"/>
    <w:rsid w:val="009A0FBA"/>
    <w:rsid w:val="009A0FEC"/>
    <w:rsid w:val="009A1539"/>
    <w:rsid w:val="009A1601"/>
    <w:rsid w:val="009A3BB6"/>
    <w:rsid w:val="009A462D"/>
    <w:rsid w:val="009A5CBA"/>
    <w:rsid w:val="009A5D92"/>
    <w:rsid w:val="009A7E94"/>
    <w:rsid w:val="009B073A"/>
    <w:rsid w:val="009B1D1F"/>
    <w:rsid w:val="009B1F30"/>
    <w:rsid w:val="009B3AC2"/>
    <w:rsid w:val="009B3F6E"/>
    <w:rsid w:val="009B4DF4"/>
    <w:rsid w:val="009B564E"/>
    <w:rsid w:val="009B6527"/>
    <w:rsid w:val="009B7E87"/>
    <w:rsid w:val="009B7F2D"/>
    <w:rsid w:val="009C0169"/>
    <w:rsid w:val="009C0A4F"/>
    <w:rsid w:val="009C403E"/>
    <w:rsid w:val="009C42E1"/>
    <w:rsid w:val="009C4982"/>
    <w:rsid w:val="009C7E88"/>
    <w:rsid w:val="009D1A1F"/>
    <w:rsid w:val="009D2D43"/>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07381"/>
    <w:rsid w:val="00A12716"/>
    <w:rsid w:val="00A13357"/>
    <w:rsid w:val="00A13E54"/>
    <w:rsid w:val="00A143A8"/>
    <w:rsid w:val="00A17631"/>
    <w:rsid w:val="00A17F63"/>
    <w:rsid w:val="00A20524"/>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34B3"/>
    <w:rsid w:val="00A64732"/>
    <w:rsid w:val="00A657D7"/>
    <w:rsid w:val="00A660AC"/>
    <w:rsid w:val="00A67305"/>
    <w:rsid w:val="00A67E6C"/>
    <w:rsid w:val="00A705C1"/>
    <w:rsid w:val="00A71B99"/>
    <w:rsid w:val="00A7323B"/>
    <w:rsid w:val="00A739D0"/>
    <w:rsid w:val="00A73F1B"/>
    <w:rsid w:val="00A74F39"/>
    <w:rsid w:val="00A75372"/>
    <w:rsid w:val="00A761D4"/>
    <w:rsid w:val="00A77EC4"/>
    <w:rsid w:val="00A805AA"/>
    <w:rsid w:val="00A86154"/>
    <w:rsid w:val="00A87946"/>
    <w:rsid w:val="00A92089"/>
    <w:rsid w:val="00A92879"/>
    <w:rsid w:val="00A9388A"/>
    <w:rsid w:val="00A9442A"/>
    <w:rsid w:val="00A96A2C"/>
    <w:rsid w:val="00A96B79"/>
    <w:rsid w:val="00A97941"/>
    <w:rsid w:val="00AA016F"/>
    <w:rsid w:val="00AA094F"/>
    <w:rsid w:val="00AA12ED"/>
    <w:rsid w:val="00AA1ED6"/>
    <w:rsid w:val="00AA3168"/>
    <w:rsid w:val="00AA3CF6"/>
    <w:rsid w:val="00AA51D6"/>
    <w:rsid w:val="00AA7ACE"/>
    <w:rsid w:val="00AB0BC8"/>
    <w:rsid w:val="00AB0C32"/>
    <w:rsid w:val="00AB11CA"/>
    <w:rsid w:val="00AB14D9"/>
    <w:rsid w:val="00AB33A0"/>
    <w:rsid w:val="00AB3EB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46D"/>
    <w:rsid w:val="00AF0F66"/>
    <w:rsid w:val="00AF1C5D"/>
    <w:rsid w:val="00AF3162"/>
    <w:rsid w:val="00AF42D7"/>
    <w:rsid w:val="00AF5392"/>
    <w:rsid w:val="00AF67A3"/>
    <w:rsid w:val="00B00588"/>
    <w:rsid w:val="00B006FE"/>
    <w:rsid w:val="00B007CB"/>
    <w:rsid w:val="00B00AA0"/>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64C7"/>
    <w:rsid w:val="00B66A32"/>
    <w:rsid w:val="00B66F0D"/>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4A79"/>
    <w:rsid w:val="00B97237"/>
    <w:rsid w:val="00BA0793"/>
    <w:rsid w:val="00BA2280"/>
    <w:rsid w:val="00BA2A08"/>
    <w:rsid w:val="00BA3DF6"/>
    <w:rsid w:val="00BA4770"/>
    <w:rsid w:val="00BA54DE"/>
    <w:rsid w:val="00BA56D2"/>
    <w:rsid w:val="00BA5B83"/>
    <w:rsid w:val="00BA76E0"/>
    <w:rsid w:val="00BB04B5"/>
    <w:rsid w:val="00BB23EF"/>
    <w:rsid w:val="00BB2A25"/>
    <w:rsid w:val="00BB3148"/>
    <w:rsid w:val="00BB51E9"/>
    <w:rsid w:val="00BC0FDC"/>
    <w:rsid w:val="00BC156D"/>
    <w:rsid w:val="00BC29F9"/>
    <w:rsid w:val="00BC3053"/>
    <w:rsid w:val="00BC4D2E"/>
    <w:rsid w:val="00BC5C1C"/>
    <w:rsid w:val="00BC6FA0"/>
    <w:rsid w:val="00BD37FA"/>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15C5"/>
    <w:rsid w:val="00BF2F0D"/>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2028"/>
    <w:rsid w:val="00C2555E"/>
    <w:rsid w:val="00C268E6"/>
    <w:rsid w:val="00C27548"/>
    <w:rsid w:val="00C279B5"/>
    <w:rsid w:val="00C27C45"/>
    <w:rsid w:val="00C30252"/>
    <w:rsid w:val="00C3230E"/>
    <w:rsid w:val="00C32B3C"/>
    <w:rsid w:val="00C34259"/>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AF6"/>
    <w:rsid w:val="00C63C98"/>
    <w:rsid w:val="00C6418B"/>
    <w:rsid w:val="00C64672"/>
    <w:rsid w:val="00C65424"/>
    <w:rsid w:val="00C673A3"/>
    <w:rsid w:val="00C7011C"/>
    <w:rsid w:val="00C70697"/>
    <w:rsid w:val="00C70EDB"/>
    <w:rsid w:val="00C72093"/>
    <w:rsid w:val="00C72EF4"/>
    <w:rsid w:val="00C73621"/>
    <w:rsid w:val="00C744FE"/>
    <w:rsid w:val="00C75D2F"/>
    <w:rsid w:val="00C75DBE"/>
    <w:rsid w:val="00C767BE"/>
    <w:rsid w:val="00C76E3C"/>
    <w:rsid w:val="00C7721F"/>
    <w:rsid w:val="00C81568"/>
    <w:rsid w:val="00C8157C"/>
    <w:rsid w:val="00C822BD"/>
    <w:rsid w:val="00C83B81"/>
    <w:rsid w:val="00C85AC0"/>
    <w:rsid w:val="00C8733F"/>
    <w:rsid w:val="00C9027A"/>
    <w:rsid w:val="00C9068E"/>
    <w:rsid w:val="00C91DBD"/>
    <w:rsid w:val="00C93814"/>
    <w:rsid w:val="00C93C4B"/>
    <w:rsid w:val="00C94306"/>
    <w:rsid w:val="00C944AB"/>
    <w:rsid w:val="00C94FA5"/>
    <w:rsid w:val="00C95B40"/>
    <w:rsid w:val="00C9757C"/>
    <w:rsid w:val="00CA1ED8"/>
    <w:rsid w:val="00CA3B1F"/>
    <w:rsid w:val="00CA598A"/>
    <w:rsid w:val="00CA5D4C"/>
    <w:rsid w:val="00CA7C59"/>
    <w:rsid w:val="00CB0854"/>
    <w:rsid w:val="00CB0891"/>
    <w:rsid w:val="00CB11B2"/>
    <w:rsid w:val="00CB1F63"/>
    <w:rsid w:val="00CB3183"/>
    <w:rsid w:val="00CB54F4"/>
    <w:rsid w:val="00CB61E0"/>
    <w:rsid w:val="00CB62DB"/>
    <w:rsid w:val="00CB6B25"/>
    <w:rsid w:val="00CB6C60"/>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18FF"/>
    <w:rsid w:val="00CD2ED1"/>
    <w:rsid w:val="00CD31C0"/>
    <w:rsid w:val="00CD337B"/>
    <w:rsid w:val="00CD481D"/>
    <w:rsid w:val="00CD7C0C"/>
    <w:rsid w:val="00CE0424"/>
    <w:rsid w:val="00CE1114"/>
    <w:rsid w:val="00CE1440"/>
    <w:rsid w:val="00CE1582"/>
    <w:rsid w:val="00CE159D"/>
    <w:rsid w:val="00CE5276"/>
    <w:rsid w:val="00CE6ABB"/>
    <w:rsid w:val="00CE7561"/>
    <w:rsid w:val="00CF1354"/>
    <w:rsid w:val="00CF3B1F"/>
    <w:rsid w:val="00CF3BF6"/>
    <w:rsid w:val="00CF404E"/>
    <w:rsid w:val="00CF625B"/>
    <w:rsid w:val="00CF687E"/>
    <w:rsid w:val="00CF7BBA"/>
    <w:rsid w:val="00D0168D"/>
    <w:rsid w:val="00D0349B"/>
    <w:rsid w:val="00D0381B"/>
    <w:rsid w:val="00D04B8D"/>
    <w:rsid w:val="00D05582"/>
    <w:rsid w:val="00D056D3"/>
    <w:rsid w:val="00D077C2"/>
    <w:rsid w:val="00D10249"/>
    <w:rsid w:val="00D10CA4"/>
    <w:rsid w:val="00D115C3"/>
    <w:rsid w:val="00D11897"/>
    <w:rsid w:val="00D13135"/>
    <w:rsid w:val="00D13E4E"/>
    <w:rsid w:val="00D13E9E"/>
    <w:rsid w:val="00D15175"/>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1462"/>
    <w:rsid w:val="00D425D5"/>
    <w:rsid w:val="00D42B45"/>
    <w:rsid w:val="00D4318F"/>
    <w:rsid w:val="00D438BF"/>
    <w:rsid w:val="00D440F8"/>
    <w:rsid w:val="00D44C44"/>
    <w:rsid w:val="00D4560F"/>
    <w:rsid w:val="00D50ED9"/>
    <w:rsid w:val="00D52E44"/>
    <w:rsid w:val="00D546FF"/>
    <w:rsid w:val="00D54973"/>
    <w:rsid w:val="00D55AD5"/>
    <w:rsid w:val="00D561A2"/>
    <w:rsid w:val="00D57225"/>
    <w:rsid w:val="00D576CA"/>
    <w:rsid w:val="00D60345"/>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0E73"/>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C7AA1"/>
    <w:rsid w:val="00DD42F3"/>
    <w:rsid w:val="00DD6CBB"/>
    <w:rsid w:val="00DE1551"/>
    <w:rsid w:val="00DE3F4D"/>
    <w:rsid w:val="00DE4355"/>
    <w:rsid w:val="00DE44F5"/>
    <w:rsid w:val="00DE5608"/>
    <w:rsid w:val="00DE563A"/>
    <w:rsid w:val="00DE58D0"/>
    <w:rsid w:val="00DE654F"/>
    <w:rsid w:val="00DE72D3"/>
    <w:rsid w:val="00DE7486"/>
    <w:rsid w:val="00DE74E2"/>
    <w:rsid w:val="00DF0B6E"/>
    <w:rsid w:val="00DF15E0"/>
    <w:rsid w:val="00DF37A0"/>
    <w:rsid w:val="00DF79E1"/>
    <w:rsid w:val="00DF7DEE"/>
    <w:rsid w:val="00E0178E"/>
    <w:rsid w:val="00E02D3E"/>
    <w:rsid w:val="00E04119"/>
    <w:rsid w:val="00E078B0"/>
    <w:rsid w:val="00E110E7"/>
    <w:rsid w:val="00E11B20"/>
    <w:rsid w:val="00E12B44"/>
    <w:rsid w:val="00E13445"/>
    <w:rsid w:val="00E16DE0"/>
    <w:rsid w:val="00E170C9"/>
    <w:rsid w:val="00E17FA2"/>
    <w:rsid w:val="00E22196"/>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01A5"/>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45E1"/>
    <w:rsid w:val="00E7542F"/>
    <w:rsid w:val="00E758EC"/>
    <w:rsid w:val="00E8234C"/>
    <w:rsid w:val="00E83722"/>
    <w:rsid w:val="00E83AA9"/>
    <w:rsid w:val="00E84382"/>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2240"/>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E665C"/>
    <w:rsid w:val="00EE6BD7"/>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25929"/>
    <w:rsid w:val="00F30828"/>
    <w:rsid w:val="00F313D6"/>
    <w:rsid w:val="00F31AEF"/>
    <w:rsid w:val="00F35CDB"/>
    <w:rsid w:val="00F36080"/>
    <w:rsid w:val="00F36300"/>
    <w:rsid w:val="00F40231"/>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66A"/>
    <w:rsid w:val="00F76DE8"/>
    <w:rsid w:val="00F76EFA"/>
    <w:rsid w:val="00F772A3"/>
    <w:rsid w:val="00F77CE1"/>
    <w:rsid w:val="00F804BE"/>
    <w:rsid w:val="00F81267"/>
    <w:rsid w:val="00F81755"/>
    <w:rsid w:val="00F817CE"/>
    <w:rsid w:val="00F82E6A"/>
    <w:rsid w:val="00F83007"/>
    <w:rsid w:val="00F83C82"/>
    <w:rsid w:val="00F8456C"/>
    <w:rsid w:val="00F8533A"/>
    <w:rsid w:val="00F859D8"/>
    <w:rsid w:val="00F868F5"/>
    <w:rsid w:val="00F870E7"/>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4691"/>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2C7"/>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Bullet" w:uiPriority="3"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82EE4"/>
    <w:pPr>
      <w:spacing w:before="40"/>
    </w:pPr>
    <w:rPr>
      <w:rFonts w:ascii="Arial" w:eastAsia="MS Mincho" w:hAnsi="Arial"/>
      <w:i/>
      <w:noProof/>
      <w:sz w:val="18"/>
      <w:lang w:val="en-GB" w:eastAsia="en-GB"/>
    </w:rPr>
  </w:style>
  <w:style w:type="character" w:customStyle="1" w:styleId="CommentsChar">
    <w:name w:val="Comments Char"/>
    <w:link w:val="Comments"/>
    <w:qFormat/>
    <w:rsid w:val="00482EE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90476029">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4070</Characters>
  <Application>Microsoft Office Word</Application>
  <DocSecurity>0</DocSecurity>
  <Lines>33</Lines>
  <Paragraphs>9</Paragraphs>
  <ScaleCrop>false</ScaleCrop>
  <LinksUpToDate>false</LinksUpToDate>
  <CharactersWithSpaces>4775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2022-04-29T08:45:00Z</dcterms:created>
  <dcterms:modified xsi:type="dcterms:W3CDTF">2023-11-03T08:16:00Z</dcterms:modified>
</cp:coreProperties>
</file>